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089F">
      <w:pPr>
        <w:spacing w:line="360" w:lineRule="auto"/>
        <w:jc w:val="center"/>
        <w:rPr>
          <w:rFonts w:asciiTheme="minorEastAsia" w:hAnsiTheme="minorEastAsia" w:cstheme="minorEastAsia"/>
          <w:b/>
          <w:sz w:val="36"/>
          <w:szCs w:val="36"/>
        </w:rPr>
      </w:pPr>
      <w:r>
        <w:rPr>
          <w:rFonts w:hint="eastAsia" w:asciiTheme="minorEastAsia" w:hAnsiTheme="minorEastAsia" w:cstheme="minorEastAsia"/>
          <w:b/>
          <w:sz w:val="36"/>
          <w:szCs w:val="36"/>
        </w:rPr>
        <w:t>土木与交通工程学院</w:t>
      </w:r>
    </w:p>
    <w:p w14:paraId="3A87B0FD">
      <w:pPr>
        <w:spacing w:line="360" w:lineRule="auto"/>
        <w:jc w:val="center"/>
        <w:rPr>
          <w:rFonts w:asciiTheme="minorEastAsia" w:hAnsiTheme="minorEastAsia" w:cstheme="minorEastAsia"/>
          <w:b/>
          <w:sz w:val="36"/>
          <w:szCs w:val="36"/>
        </w:rPr>
      </w:pPr>
      <w:r>
        <w:rPr>
          <w:rFonts w:hint="eastAsia" w:asciiTheme="minorEastAsia" w:hAnsiTheme="minorEastAsia" w:cstheme="minorEastAsia"/>
          <w:b/>
          <w:sz w:val="36"/>
          <w:szCs w:val="36"/>
          <w:lang w:eastAsia="zh-CN"/>
        </w:rPr>
        <w:t>2025</w:t>
      </w:r>
      <w:r>
        <w:rPr>
          <w:rFonts w:hint="eastAsia" w:asciiTheme="minorEastAsia" w:hAnsiTheme="minorEastAsia" w:cstheme="minorEastAsia"/>
          <w:b/>
          <w:sz w:val="36"/>
          <w:szCs w:val="36"/>
        </w:rPr>
        <w:t>年博士研究生复试录取工作方案</w:t>
      </w:r>
    </w:p>
    <w:p w14:paraId="4DF96F38">
      <w:pPr>
        <w:spacing w:line="360" w:lineRule="auto"/>
        <w:ind w:firstLine="482" w:firstLineChars="200"/>
        <w:rPr>
          <w:rFonts w:hint="eastAsia" w:asciiTheme="minorEastAsia" w:hAnsiTheme="minorEastAsia" w:cstheme="minorEastAsia"/>
          <w:b/>
          <w:sz w:val="24"/>
          <w:szCs w:val="24"/>
        </w:rPr>
      </w:pPr>
    </w:p>
    <w:p w14:paraId="4F1D2B8A">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一、时间安排及方式</w:t>
      </w:r>
    </w:p>
    <w:p w14:paraId="15DED7C8">
      <w:pPr>
        <w:adjustRightInd w:val="0"/>
        <w:snapToGrid w:val="0"/>
        <w:spacing w:line="360" w:lineRule="auto"/>
        <w:ind w:firstLine="480" w:firstLineChars="20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cstheme="minorEastAsia"/>
          <w:bCs/>
          <w:color w:val="000000"/>
          <w:sz w:val="24"/>
          <w:szCs w:val="24"/>
          <w:lang w:val="en-US" w:eastAsia="zh-CN"/>
        </w:rPr>
        <w:t>我校博士研究生设有普通招考（“申请</w:t>
      </w:r>
      <w:r>
        <w:rPr>
          <w:rFonts w:hint="default" w:asciiTheme="minorEastAsia" w:hAnsiTheme="minorEastAsia" w:cstheme="minorEastAsia"/>
          <w:bCs/>
          <w:color w:val="000000"/>
          <w:sz w:val="24"/>
          <w:szCs w:val="24"/>
          <w:lang w:val="en-US" w:eastAsia="zh-CN"/>
        </w:rPr>
        <w:t>-</w:t>
      </w:r>
      <w:r>
        <w:rPr>
          <w:rFonts w:hint="eastAsia" w:asciiTheme="minorEastAsia" w:hAnsiTheme="minorEastAsia" w:cstheme="minorEastAsia"/>
          <w:bCs/>
          <w:color w:val="000000"/>
          <w:sz w:val="24"/>
          <w:szCs w:val="24"/>
          <w:lang w:val="en-US" w:eastAsia="zh-CN"/>
        </w:rPr>
        <w:t xml:space="preserve">考核”制）和硕博连读两种类型，考核时间自 </w:t>
      </w:r>
      <w:r>
        <w:rPr>
          <w:rFonts w:hint="default" w:asciiTheme="minorEastAsia" w:hAnsiTheme="minorEastAsia" w:cstheme="minorEastAsia"/>
          <w:bCs/>
          <w:color w:val="000000"/>
          <w:sz w:val="24"/>
          <w:szCs w:val="24"/>
          <w:lang w:val="en-US" w:eastAsia="zh-CN"/>
        </w:rPr>
        <w:t xml:space="preserve">4 </w:t>
      </w:r>
      <w:r>
        <w:rPr>
          <w:rFonts w:hint="eastAsia" w:asciiTheme="minorEastAsia" w:hAnsiTheme="minorEastAsia" w:cstheme="minorEastAsia"/>
          <w:bCs/>
          <w:color w:val="000000"/>
          <w:sz w:val="24"/>
          <w:szCs w:val="24"/>
          <w:lang w:val="en-US" w:eastAsia="zh-CN"/>
        </w:rPr>
        <w:t xml:space="preserve">月 </w:t>
      </w:r>
      <w:r>
        <w:rPr>
          <w:rFonts w:hint="default" w:asciiTheme="minorEastAsia" w:hAnsiTheme="minorEastAsia" w:cstheme="minorEastAsia"/>
          <w:bCs/>
          <w:color w:val="000000"/>
          <w:sz w:val="24"/>
          <w:szCs w:val="24"/>
          <w:lang w:val="en-US" w:eastAsia="zh-CN"/>
        </w:rPr>
        <w:t xml:space="preserve">18 </w:t>
      </w:r>
      <w:r>
        <w:rPr>
          <w:rFonts w:hint="eastAsia" w:asciiTheme="minorEastAsia" w:hAnsiTheme="minorEastAsia" w:cstheme="minorEastAsia"/>
          <w:bCs/>
          <w:color w:val="000000"/>
          <w:sz w:val="24"/>
          <w:szCs w:val="24"/>
          <w:lang w:val="en-US" w:eastAsia="zh-CN"/>
        </w:rPr>
        <w:t>日开始有序启动。</w:t>
      </w:r>
    </w:p>
    <w:p w14:paraId="14840580">
      <w:pPr>
        <w:widowControl/>
        <w:adjustRightInd w:val="0"/>
        <w:snapToGrid w:val="0"/>
        <w:spacing w:line="360" w:lineRule="auto"/>
        <w:ind w:firstLine="480" w:firstLineChars="200"/>
        <w:jc w:val="left"/>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1、外语基础考核时间：202</w:t>
      </w:r>
      <w:r>
        <w:rPr>
          <w:rFonts w:hint="eastAsia" w:asciiTheme="minorEastAsia" w:hAnsiTheme="minorEastAsia" w:cstheme="minorEastAsia"/>
          <w:bCs/>
          <w:color w:val="000000"/>
          <w:sz w:val="24"/>
          <w:szCs w:val="24"/>
          <w:lang w:val="en-US" w:eastAsia="zh-CN"/>
        </w:rPr>
        <w:t>5</w:t>
      </w:r>
      <w:r>
        <w:rPr>
          <w:rFonts w:hint="eastAsia" w:asciiTheme="minorEastAsia" w:hAnsiTheme="minorEastAsia" w:cstheme="minorEastAsia"/>
          <w:bCs/>
          <w:color w:val="000000"/>
          <w:sz w:val="24"/>
          <w:szCs w:val="24"/>
        </w:rPr>
        <w:t>年4月20日（星期</w:t>
      </w:r>
      <w:r>
        <w:rPr>
          <w:rFonts w:hint="eastAsia" w:asciiTheme="minorEastAsia" w:hAnsiTheme="minorEastAsia" w:cstheme="minorEastAsia"/>
          <w:bCs/>
          <w:color w:val="000000"/>
          <w:sz w:val="24"/>
          <w:szCs w:val="24"/>
          <w:lang w:eastAsia="zh-CN"/>
        </w:rPr>
        <w:t>日</w:t>
      </w:r>
      <w:r>
        <w:rPr>
          <w:rFonts w:hint="eastAsia" w:asciiTheme="minorEastAsia" w:hAnsiTheme="minorEastAsia" w:cstheme="minorEastAsia"/>
          <w:bCs/>
          <w:color w:val="000000"/>
          <w:sz w:val="24"/>
          <w:szCs w:val="24"/>
        </w:rPr>
        <w:t>）上午9：00-11：</w:t>
      </w:r>
      <w:r>
        <w:rPr>
          <w:rFonts w:hint="eastAsia" w:asciiTheme="minorEastAsia" w:hAnsiTheme="minorEastAsia" w:cstheme="minorEastAsia"/>
          <w:bCs/>
          <w:color w:val="000000"/>
          <w:sz w:val="24"/>
          <w:szCs w:val="24"/>
          <w:lang w:val="en-US" w:eastAsia="zh-CN"/>
        </w:rPr>
        <w:t>3</w:t>
      </w:r>
      <w:r>
        <w:rPr>
          <w:rFonts w:hint="eastAsia" w:asciiTheme="minorEastAsia" w:hAnsiTheme="minorEastAsia" w:cstheme="minorEastAsia"/>
          <w:bCs/>
          <w:color w:val="000000"/>
          <w:sz w:val="24"/>
          <w:szCs w:val="24"/>
        </w:rPr>
        <w:t>0</w:t>
      </w:r>
      <w:bookmarkStart w:id="0" w:name="_GoBack"/>
      <w:bookmarkEnd w:id="0"/>
    </w:p>
    <w:p w14:paraId="4E8A8F0B">
      <w:pPr>
        <w:widowControl/>
        <w:adjustRightInd w:val="0"/>
        <w:snapToGrid w:val="0"/>
        <w:spacing w:line="360" w:lineRule="auto"/>
        <w:ind w:firstLine="480" w:firstLineChars="200"/>
        <w:jc w:val="left"/>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2、外语基础考核地点：北京建筑大学西城校区教1楼</w:t>
      </w:r>
    </w:p>
    <w:p w14:paraId="2997FB20">
      <w:pPr>
        <w:widowControl/>
        <w:adjustRightInd w:val="0"/>
        <w:snapToGrid w:val="0"/>
        <w:spacing w:line="360" w:lineRule="auto"/>
        <w:ind w:firstLine="480" w:firstLineChars="200"/>
        <w:jc w:val="left"/>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cstheme="minorEastAsia"/>
          <w:bCs/>
          <w:color w:val="000000"/>
          <w:sz w:val="24"/>
          <w:szCs w:val="24"/>
        </w:rPr>
        <w:t>3、专业综合（含专业外语）考核时间：</w:t>
      </w:r>
      <w:r>
        <w:rPr>
          <w:rFonts w:hint="eastAsia" w:asciiTheme="minorEastAsia" w:hAnsiTheme="minorEastAsia" w:cstheme="minorEastAsia"/>
          <w:bCs/>
          <w:color w:val="000000"/>
          <w:sz w:val="24"/>
          <w:szCs w:val="24"/>
          <w:lang w:eastAsia="zh-CN"/>
        </w:rPr>
        <w:t>以学院通知为准</w:t>
      </w:r>
    </w:p>
    <w:p w14:paraId="318E6CE4">
      <w:pPr>
        <w:widowControl/>
        <w:adjustRightInd w:val="0"/>
        <w:snapToGrid w:val="0"/>
        <w:spacing w:line="360" w:lineRule="auto"/>
        <w:ind w:firstLine="480" w:firstLineChars="200"/>
        <w:jc w:val="left"/>
        <w:rPr>
          <w:rFonts w:hint="eastAsia" w:asciiTheme="minorEastAsia" w:hAnsiTheme="minorEastAsia" w:cstheme="minorEastAsia"/>
          <w:bCs/>
          <w:color w:val="000000"/>
          <w:sz w:val="24"/>
          <w:szCs w:val="24"/>
          <w:lang w:eastAsia="zh-CN"/>
        </w:rPr>
      </w:pPr>
      <w:r>
        <w:rPr>
          <w:rFonts w:hint="eastAsia" w:asciiTheme="minorEastAsia" w:hAnsiTheme="minorEastAsia" w:cstheme="minorEastAsia"/>
          <w:bCs/>
          <w:color w:val="000000"/>
          <w:sz w:val="24"/>
          <w:szCs w:val="24"/>
        </w:rPr>
        <w:t>4、专业综合（含专业外语）考核方式：</w:t>
      </w:r>
      <w:r>
        <w:rPr>
          <w:rFonts w:hint="eastAsia" w:asciiTheme="minorEastAsia" w:hAnsiTheme="minorEastAsia" w:cstheme="minorEastAsia"/>
          <w:bCs/>
          <w:color w:val="000000"/>
          <w:sz w:val="24"/>
          <w:szCs w:val="24"/>
          <w:lang w:eastAsia="zh-CN"/>
        </w:rPr>
        <w:t>现场复试</w:t>
      </w:r>
    </w:p>
    <w:p w14:paraId="2AEB823A">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二、科研基础审核</w:t>
      </w:r>
    </w:p>
    <w:p w14:paraId="134B348E">
      <w:pPr>
        <w:adjustRightInd w:val="0"/>
        <w:snapToGrid w:val="0"/>
        <w:spacing w:line="360" w:lineRule="auto"/>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在考生提交申请材料后，各一级学科组织相关学院领导、学科负责人及负责学生工作等专门人员，依据审核标准，对申请者的报考条件、学习经历与成绩、已取得的科研成果和发表论文情况、考生继续攻读博士学位研究生所具备的专业知识、科研能力、综合素质、培养潜力和思想政治状况等进行综合评价，以百分制计分给出“科研基础”得分并填写《北京建筑大学博士生招生申请考核制考生“科研基础”评分表》，考生“科研基础”得分由学院进行公示。各学科根据考生的科研基础得分，划定科研基础合格分数线，并确定进入复试的考生名单。</w:t>
      </w:r>
    </w:p>
    <w:p w14:paraId="164D713B">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科研基础满分100</w:t>
      </w:r>
      <w:r>
        <w:rPr>
          <w:rFonts w:hint="eastAsia" w:asciiTheme="minorEastAsia" w:hAnsiTheme="minorEastAsia" w:cstheme="minorEastAsia"/>
          <w:sz w:val="24"/>
          <w:szCs w:val="24"/>
          <w:lang w:val="en-US" w:eastAsia="zh-CN"/>
        </w:rPr>
        <w:t>分</w:t>
      </w:r>
      <w:r>
        <w:rPr>
          <w:rFonts w:hint="eastAsia" w:asciiTheme="minorEastAsia" w:hAnsiTheme="minorEastAsia" w:cstheme="minorEastAsia"/>
          <w:sz w:val="24"/>
          <w:szCs w:val="24"/>
        </w:rPr>
        <w:t>，合格分数线</w:t>
      </w:r>
      <w:r>
        <w:rPr>
          <w:rFonts w:asciiTheme="minorEastAsia" w:hAnsiTheme="minorEastAsia" w:cstheme="minorEastAsia"/>
          <w:sz w:val="24"/>
          <w:szCs w:val="24"/>
        </w:rPr>
        <w:t>为</w:t>
      </w:r>
      <w:r>
        <w:rPr>
          <w:rFonts w:hint="eastAsia" w:asciiTheme="minorEastAsia" w:hAnsiTheme="minorEastAsia" w:cstheme="minorEastAsia"/>
          <w:sz w:val="24"/>
          <w:szCs w:val="24"/>
        </w:rPr>
        <w:t>60分</w:t>
      </w:r>
      <w:r>
        <w:rPr>
          <w:rFonts w:asciiTheme="minorEastAsia" w:hAnsiTheme="minorEastAsia" w:cstheme="minorEastAsia"/>
          <w:sz w:val="24"/>
          <w:szCs w:val="24"/>
        </w:rPr>
        <w:t>。</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34"/>
        <w:gridCol w:w="2088"/>
      </w:tblGrid>
      <w:tr w14:paraId="1A8AE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25" w:type="dxa"/>
          </w:tcPr>
          <w:p w14:paraId="7CA03A62">
            <w:pPr>
              <w:pStyle w:val="16"/>
              <w:spacing w:line="360" w:lineRule="auto"/>
              <w:jc w:val="center"/>
              <w:rPr>
                <w:rFonts w:asciiTheme="minorEastAsia" w:hAnsiTheme="minorEastAsia" w:cstheme="minorEastAsia"/>
                <w:b/>
              </w:rPr>
            </w:pPr>
            <w:r>
              <w:rPr>
                <w:rFonts w:hint="eastAsia" w:asciiTheme="minorEastAsia" w:hAnsiTheme="minorEastAsia" w:cstheme="minorEastAsia"/>
                <w:b/>
              </w:rPr>
              <w:t>评定内容</w:t>
            </w:r>
          </w:p>
        </w:tc>
        <w:tc>
          <w:tcPr>
            <w:tcW w:w="2313" w:type="dxa"/>
          </w:tcPr>
          <w:p w14:paraId="35FF7D81">
            <w:pPr>
              <w:pStyle w:val="16"/>
              <w:spacing w:line="360" w:lineRule="auto"/>
              <w:jc w:val="center"/>
              <w:rPr>
                <w:rFonts w:asciiTheme="minorEastAsia" w:hAnsiTheme="minorEastAsia" w:cstheme="minorEastAsia"/>
                <w:b/>
              </w:rPr>
            </w:pPr>
            <w:r>
              <w:rPr>
                <w:rFonts w:hint="eastAsia" w:asciiTheme="minorEastAsia" w:hAnsiTheme="minorEastAsia" w:cstheme="minorEastAsia"/>
                <w:b/>
              </w:rPr>
              <w:t>所占分值</w:t>
            </w:r>
          </w:p>
        </w:tc>
      </w:tr>
      <w:tr w14:paraId="6F99BB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25" w:type="dxa"/>
          </w:tcPr>
          <w:p w14:paraId="4A683D63">
            <w:pPr>
              <w:pStyle w:val="16"/>
              <w:spacing w:line="360" w:lineRule="auto"/>
              <w:rPr>
                <w:rFonts w:asciiTheme="minorEastAsia" w:hAnsiTheme="minorEastAsia" w:cstheme="minorEastAsia"/>
              </w:rPr>
            </w:pPr>
            <w:r>
              <w:rPr>
                <w:rFonts w:hint="eastAsia" w:asciiTheme="minorEastAsia" w:hAnsiTheme="minorEastAsia" w:cstheme="minorEastAsia"/>
              </w:rPr>
              <w:t>报考条件</w:t>
            </w:r>
            <w:r>
              <w:rPr>
                <w:rFonts w:asciiTheme="minorEastAsia" w:hAnsiTheme="minorEastAsia" w:cstheme="minorEastAsia"/>
              </w:rPr>
              <w:t>（</w:t>
            </w:r>
            <w:r>
              <w:rPr>
                <w:rFonts w:hint="eastAsia" w:asciiTheme="minorEastAsia" w:hAnsiTheme="minorEastAsia" w:cstheme="minorEastAsia"/>
              </w:rPr>
              <w:t>学习成绩</w:t>
            </w:r>
            <w:r>
              <w:rPr>
                <w:rFonts w:asciiTheme="minorEastAsia" w:hAnsiTheme="minorEastAsia" w:cstheme="minorEastAsia"/>
              </w:rPr>
              <w:t>、学习经历等）</w:t>
            </w:r>
          </w:p>
        </w:tc>
        <w:tc>
          <w:tcPr>
            <w:tcW w:w="2313" w:type="dxa"/>
          </w:tcPr>
          <w:p w14:paraId="554AC3D5">
            <w:pPr>
              <w:pStyle w:val="16"/>
              <w:spacing w:line="360" w:lineRule="auto"/>
              <w:jc w:val="center"/>
              <w:rPr>
                <w:rFonts w:asciiTheme="minorEastAsia" w:hAnsiTheme="minorEastAsia" w:cstheme="minorEastAsia"/>
              </w:rPr>
            </w:pPr>
            <w:r>
              <w:rPr>
                <w:rFonts w:asciiTheme="minorEastAsia" w:hAnsiTheme="minorEastAsia" w:cstheme="minorEastAsia"/>
              </w:rPr>
              <w:t>3</w:t>
            </w:r>
            <w:r>
              <w:rPr>
                <w:rFonts w:hint="eastAsia" w:asciiTheme="minorEastAsia" w:hAnsiTheme="minorEastAsia" w:cstheme="minorEastAsia"/>
              </w:rPr>
              <w:t>0</w:t>
            </w:r>
          </w:p>
        </w:tc>
      </w:tr>
      <w:tr w14:paraId="57E50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225" w:type="dxa"/>
          </w:tcPr>
          <w:p w14:paraId="4322DE00">
            <w:pPr>
              <w:pStyle w:val="16"/>
              <w:spacing w:line="360" w:lineRule="auto"/>
              <w:rPr>
                <w:rFonts w:asciiTheme="minorEastAsia" w:hAnsiTheme="minorEastAsia" w:cstheme="minorEastAsia"/>
              </w:rPr>
            </w:pPr>
            <w:r>
              <w:rPr>
                <w:rFonts w:hint="eastAsia" w:asciiTheme="minorEastAsia" w:hAnsiTheme="minorEastAsia" w:cstheme="minorEastAsia"/>
              </w:rPr>
              <w:t>已取得的科研成果和发表论文情况</w:t>
            </w:r>
          </w:p>
        </w:tc>
        <w:tc>
          <w:tcPr>
            <w:tcW w:w="2313" w:type="dxa"/>
          </w:tcPr>
          <w:p w14:paraId="7D1DBE00">
            <w:pPr>
              <w:pStyle w:val="16"/>
              <w:spacing w:line="360" w:lineRule="auto"/>
              <w:jc w:val="center"/>
              <w:rPr>
                <w:rFonts w:asciiTheme="minorEastAsia" w:hAnsiTheme="minorEastAsia" w:cstheme="minorEastAsia"/>
              </w:rPr>
            </w:pPr>
            <w:r>
              <w:rPr>
                <w:rFonts w:asciiTheme="minorEastAsia" w:hAnsiTheme="minorEastAsia" w:cstheme="minorEastAsia"/>
              </w:rPr>
              <w:t>7</w:t>
            </w:r>
            <w:r>
              <w:rPr>
                <w:rFonts w:hint="eastAsia" w:asciiTheme="minorEastAsia" w:hAnsiTheme="minorEastAsia" w:cstheme="minorEastAsia"/>
              </w:rPr>
              <w:t>0</w:t>
            </w:r>
          </w:p>
        </w:tc>
      </w:tr>
    </w:tbl>
    <w:p w14:paraId="70038466">
      <w:pPr>
        <w:adjustRightInd w:val="0"/>
        <w:snapToGrid w:val="0"/>
        <w:spacing w:line="360" w:lineRule="auto"/>
        <w:ind w:firstLine="0" w:firstLineChars="0"/>
        <w:rPr>
          <w:rFonts w:hint="default" w:ascii="宋体" w:hAnsi="宋体"/>
          <w:bCs/>
          <w:color w:val="000000"/>
          <w:sz w:val="22"/>
          <w:szCs w:val="22"/>
          <w:highlight w:val="none"/>
          <w:lang w:val="en-US" w:eastAsia="zh-CN"/>
        </w:rPr>
      </w:pPr>
    </w:p>
    <w:p w14:paraId="79E4ECA0">
      <w:pPr>
        <w:pStyle w:val="13"/>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三</w:t>
      </w:r>
      <w:r>
        <w:rPr>
          <w:rFonts w:hint="eastAsia" w:asciiTheme="minorEastAsia" w:hAnsiTheme="minorEastAsia" w:cstheme="minorEastAsia"/>
          <w:b/>
          <w:sz w:val="24"/>
          <w:szCs w:val="24"/>
        </w:rPr>
        <w:t>、复试</w:t>
      </w:r>
    </w:p>
    <w:p w14:paraId="53C49972">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1</w:t>
      </w:r>
      <w:r>
        <w:rPr>
          <w:rFonts w:asciiTheme="minorEastAsia" w:hAnsiTheme="minorEastAsia" w:cstheme="minorEastAsia"/>
          <w:b/>
          <w:sz w:val="24"/>
          <w:szCs w:val="24"/>
        </w:rPr>
        <w:t>.</w:t>
      </w:r>
      <w:r>
        <w:rPr>
          <w:rFonts w:hint="eastAsia" w:asciiTheme="minorEastAsia" w:hAnsiTheme="minorEastAsia" w:cstheme="minorEastAsia"/>
          <w:b/>
          <w:sz w:val="24"/>
          <w:szCs w:val="24"/>
        </w:rPr>
        <w:t xml:space="preserve"> 复试分数线</w:t>
      </w:r>
    </w:p>
    <w:p w14:paraId="55A61D1A">
      <w:pPr>
        <w:adjustRightInd w:val="0"/>
        <w:snapToGrid w:val="0"/>
        <w:spacing w:line="360" w:lineRule="auto"/>
        <w:ind w:firstLine="480" w:firstLineChars="200"/>
        <w:outlineLvl w:val="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根据考生的科研基础得分，结合整体报名情况，划定科研基础合格分数线，确定进入复试环节的考生名单，由学校统一公布。未达到复试分数线者（60分），不得参加报考学科的复试。</w:t>
      </w:r>
    </w:p>
    <w:p w14:paraId="47B36CE0">
      <w:pPr>
        <w:adjustRightInd w:val="0"/>
        <w:snapToGrid w:val="0"/>
        <w:spacing w:line="360" w:lineRule="auto"/>
        <w:ind w:firstLine="482" w:firstLineChars="200"/>
        <w:rPr>
          <w:rFonts w:asciiTheme="minorEastAsia" w:hAnsiTheme="minorEastAsia" w:cstheme="minorEastAsia"/>
          <w:b/>
          <w:sz w:val="24"/>
          <w:szCs w:val="24"/>
        </w:rPr>
      </w:pPr>
      <w:r>
        <w:rPr>
          <w:rFonts w:asciiTheme="minorEastAsia" w:hAnsiTheme="minorEastAsia" w:cstheme="minorEastAsia"/>
          <w:b/>
          <w:sz w:val="24"/>
          <w:szCs w:val="24"/>
        </w:rPr>
        <w:t>2.</w:t>
      </w:r>
      <w:r>
        <w:rPr>
          <w:rFonts w:hint="eastAsia" w:asciiTheme="minorEastAsia" w:hAnsiTheme="minorEastAsia" w:cstheme="minorEastAsia"/>
          <w:b/>
          <w:sz w:val="24"/>
          <w:szCs w:val="24"/>
        </w:rPr>
        <w:t>资格复审</w:t>
      </w:r>
    </w:p>
    <w:p w14:paraId="5D36BF7B">
      <w:pPr>
        <w:pStyle w:val="13"/>
        <w:adjustRightInd w:val="0"/>
        <w:snapToGrid w:val="0"/>
        <w:spacing w:line="360" w:lineRule="auto"/>
        <w:ind w:firstLine="480"/>
        <w:outlineLvl w:val="0"/>
        <w:rPr>
          <w:rFonts w:hint="eastAsia" w:asciiTheme="minorEastAsia" w:hAnsiTheme="minorEastAsia" w:cstheme="minorEastAsia"/>
          <w:bCs/>
          <w:color w:val="000000"/>
          <w:sz w:val="24"/>
          <w:szCs w:val="24"/>
          <w:lang w:val="en-US" w:eastAsia="zh-CN"/>
        </w:rPr>
      </w:pPr>
      <w:r>
        <w:rPr>
          <w:rFonts w:hint="eastAsia" w:asciiTheme="minorEastAsia" w:hAnsiTheme="minorEastAsia" w:cstheme="minorEastAsia"/>
          <w:bCs/>
          <w:color w:val="000000"/>
          <w:sz w:val="24"/>
          <w:szCs w:val="24"/>
          <w:lang w:val="en-US" w:eastAsia="zh-CN"/>
        </w:rPr>
        <w:t>所有考生须按照学院的时间要求，在复试前将①本人有效期内居民身份证；②硕士学历和学位证书原件（应届硕士毕业生和申请硕博连读的在读研究生持本人硕士研究生学生证原件；国&lt;境&gt;外单位获得学位的考生，须持有教育部留学服务中心的《国&lt;境&gt;外学历学位认证书》原件）；③政审表（附件1）等文件带到复试现场进行资格复审。</w:t>
      </w:r>
    </w:p>
    <w:p w14:paraId="4C718A9E">
      <w:pPr>
        <w:pStyle w:val="13"/>
        <w:adjustRightInd w:val="0"/>
        <w:snapToGrid w:val="0"/>
        <w:spacing w:line="360" w:lineRule="auto"/>
        <w:ind w:firstLine="480"/>
        <w:outlineLvl w:val="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在资格复审时，对存疑的学历学位证书，考生须在</w:t>
      </w:r>
      <w:r>
        <w:rPr>
          <w:rFonts w:asciiTheme="minorEastAsia" w:hAnsiTheme="minorEastAsia" w:cstheme="minorEastAsia"/>
          <w:bCs/>
          <w:color w:val="000000"/>
          <w:sz w:val="24"/>
          <w:szCs w:val="24"/>
        </w:rPr>
        <w:t>5</w:t>
      </w:r>
      <w:r>
        <w:rPr>
          <w:rFonts w:hint="eastAsia" w:asciiTheme="minorEastAsia" w:hAnsiTheme="minorEastAsia" w:cstheme="minorEastAsia"/>
          <w:bCs/>
          <w:color w:val="000000"/>
          <w:sz w:val="24"/>
          <w:szCs w:val="24"/>
        </w:rPr>
        <w:t>月</w:t>
      </w:r>
      <w:r>
        <w:rPr>
          <w:rFonts w:hint="eastAsia" w:asciiTheme="minorEastAsia" w:hAnsiTheme="minorEastAsia" w:cstheme="minorEastAsia"/>
          <w:bCs/>
          <w:color w:val="000000"/>
          <w:sz w:val="24"/>
          <w:szCs w:val="24"/>
          <w:lang w:val="en-US" w:eastAsia="zh-CN"/>
        </w:rPr>
        <w:t>10</w:t>
      </w:r>
      <w:r>
        <w:rPr>
          <w:rFonts w:hint="eastAsia" w:asciiTheme="minorEastAsia" w:hAnsiTheme="minorEastAsia" w:cstheme="minorEastAsia"/>
          <w:bCs/>
          <w:color w:val="000000"/>
          <w:sz w:val="24"/>
          <w:szCs w:val="24"/>
        </w:rPr>
        <w:t>日前提供指定机构出具的认证证明。</w:t>
      </w:r>
    </w:p>
    <w:p w14:paraId="1C02C1A0">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3</w:t>
      </w:r>
      <w:r>
        <w:rPr>
          <w:rFonts w:hint="eastAsia" w:asciiTheme="minorEastAsia" w:hAnsiTheme="minorEastAsia" w:cstheme="minorEastAsia"/>
          <w:b/>
          <w:sz w:val="24"/>
          <w:szCs w:val="24"/>
        </w:rPr>
        <w:t>.打印准考证</w:t>
      </w:r>
    </w:p>
    <w:p w14:paraId="610A50FA">
      <w:pPr>
        <w:pStyle w:val="16"/>
        <w:spacing w:line="360" w:lineRule="auto"/>
        <w:ind w:firstLine="480" w:firstLineChars="200"/>
        <w:rPr>
          <w:rFonts w:hint="eastAsia" w:asciiTheme="minorEastAsia" w:hAnsiTheme="minorEastAsia"/>
          <w:lang w:val="en-US" w:eastAsia="zh-CN"/>
        </w:rPr>
      </w:pPr>
      <w:r>
        <w:rPr>
          <w:rFonts w:hint="eastAsia" w:asciiTheme="minorEastAsia" w:hAnsiTheme="minorEastAsia"/>
          <w:lang w:val="en-US" w:eastAsia="zh-CN"/>
        </w:rPr>
        <w:t xml:space="preserve">考生于 </w:t>
      </w:r>
      <w:r>
        <w:rPr>
          <w:rFonts w:hint="default" w:asciiTheme="minorEastAsia" w:hAnsiTheme="minorEastAsia"/>
          <w:lang w:val="en-US" w:eastAsia="zh-CN"/>
        </w:rPr>
        <w:t xml:space="preserve">4 </w:t>
      </w:r>
      <w:r>
        <w:rPr>
          <w:rFonts w:hint="eastAsia" w:asciiTheme="minorEastAsia" w:hAnsiTheme="minorEastAsia"/>
          <w:lang w:val="en-US" w:eastAsia="zh-CN"/>
        </w:rPr>
        <w:t xml:space="preserve">月 </w:t>
      </w:r>
      <w:r>
        <w:rPr>
          <w:rFonts w:hint="default" w:asciiTheme="minorEastAsia" w:hAnsiTheme="minorEastAsia"/>
          <w:lang w:val="en-US" w:eastAsia="zh-CN"/>
        </w:rPr>
        <w:t xml:space="preserve">18 </w:t>
      </w:r>
      <w:r>
        <w:rPr>
          <w:rFonts w:hint="eastAsia" w:asciiTheme="minorEastAsia" w:hAnsiTheme="minorEastAsia"/>
          <w:lang w:val="en-US" w:eastAsia="zh-CN"/>
        </w:rPr>
        <w:t>日（周五）</w:t>
      </w:r>
      <w:r>
        <w:rPr>
          <w:rFonts w:hint="default" w:asciiTheme="minorEastAsia" w:hAnsiTheme="minorEastAsia"/>
          <w:lang w:val="en-US" w:eastAsia="zh-CN"/>
        </w:rPr>
        <w:t xml:space="preserve">10:00 </w:t>
      </w:r>
      <w:r>
        <w:rPr>
          <w:rFonts w:hint="eastAsia" w:asciiTheme="minorEastAsia" w:hAnsiTheme="minorEastAsia"/>
          <w:lang w:val="en-US" w:eastAsia="zh-CN"/>
        </w:rPr>
        <w:t>后登陆中国研究生招生信息网，下载打印准考证。</w:t>
      </w:r>
    </w:p>
    <w:p w14:paraId="5EC83FCE">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4</w:t>
      </w:r>
      <w:r>
        <w:rPr>
          <w:rFonts w:asciiTheme="minorEastAsia" w:hAnsiTheme="minorEastAsia" w:cstheme="minorEastAsia"/>
          <w:b/>
          <w:sz w:val="24"/>
          <w:szCs w:val="24"/>
        </w:rPr>
        <w:t>.</w:t>
      </w:r>
      <w:r>
        <w:rPr>
          <w:rFonts w:hint="eastAsia" w:asciiTheme="minorEastAsia" w:hAnsiTheme="minorEastAsia" w:cstheme="minorEastAsia"/>
          <w:b/>
          <w:sz w:val="24"/>
          <w:szCs w:val="24"/>
        </w:rPr>
        <w:t>复试的组织</w:t>
      </w:r>
    </w:p>
    <w:p w14:paraId="5D2C1384">
      <w:pPr>
        <w:pStyle w:val="13"/>
        <w:adjustRightInd w:val="0"/>
        <w:snapToGrid w:val="0"/>
        <w:spacing w:line="360" w:lineRule="auto"/>
        <w:ind w:firstLine="480"/>
        <w:outlineLvl w:val="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学院对进入复试的考生进行“外语基础”和“专业综合（含专业外语）”考核，同时进行思想政治素质与品德考核。</w:t>
      </w:r>
    </w:p>
    <w:p w14:paraId="2AD10AAB">
      <w:pPr>
        <w:pStyle w:val="13"/>
        <w:adjustRightInd w:val="0"/>
        <w:snapToGrid w:val="0"/>
        <w:spacing w:line="360" w:lineRule="auto"/>
        <w:ind w:firstLine="480"/>
        <w:outlineLvl w:val="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“外语基础”考核由学校统一组织，以笔试方式进行，主要考查考生的外文文献阅读与翻译、写作等基础知识和基础技能以及对语言的综合运用能力。</w:t>
      </w:r>
    </w:p>
    <w:p w14:paraId="736AC220">
      <w:pPr>
        <w:pStyle w:val="13"/>
        <w:adjustRightInd w:val="0"/>
        <w:snapToGrid w:val="0"/>
        <w:spacing w:line="360" w:lineRule="auto"/>
        <w:ind w:firstLine="480"/>
        <w:outlineLvl w:val="0"/>
        <w:rPr>
          <w:rFonts w:asciiTheme="minorEastAsia" w:hAnsiTheme="minorEastAsia" w:cstheme="minorEastAsia"/>
          <w:b/>
          <w:bCs/>
          <w:color w:val="FF0000"/>
          <w:sz w:val="24"/>
          <w:szCs w:val="24"/>
        </w:rPr>
      </w:pPr>
      <w:r>
        <w:rPr>
          <w:rFonts w:hint="eastAsia" w:asciiTheme="minorEastAsia" w:hAnsiTheme="minorEastAsia" w:cstheme="minorEastAsia"/>
          <w:bCs/>
          <w:sz w:val="24"/>
          <w:szCs w:val="24"/>
        </w:rPr>
        <w:t>“专业综合（含专业外语）”考核由学院组织，</w:t>
      </w:r>
      <w:r>
        <w:rPr>
          <w:rFonts w:hint="eastAsia" w:asciiTheme="minorEastAsia" w:hAnsiTheme="minorEastAsia" w:cstheme="minorEastAsia"/>
          <w:bCs/>
          <w:color w:val="000000"/>
          <w:sz w:val="24"/>
          <w:szCs w:val="24"/>
        </w:rPr>
        <w:t>主要考查考生专业理论基础知识、知识运用能力、创新意识与科学思维能力、综合分析及语言表达能力、对本学科前沿领域及最新研究动态的掌握程度、综合素质、学术作风以及专业外语听力及口语等能力。</w:t>
      </w:r>
    </w:p>
    <w:p w14:paraId="100EBEB9">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val="en-US" w:eastAsia="zh-CN"/>
        </w:rPr>
        <w:t>5</w:t>
      </w:r>
      <w:r>
        <w:rPr>
          <w:rFonts w:hint="eastAsia" w:asciiTheme="minorEastAsia" w:hAnsiTheme="minorEastAsia" w:cstheme="minorEastAsia"/>
          <w:b/>
          <w:sz w:val="24"/>
          <w:szCs w:val="24"/>
        </w:rPr>
        <w:t>.复试</w:t>
      </w:r>
      <w:r>
        <w:rPr>
          <w:rFonts w:asciiTheme="minorEastAsia" w:hAnsiTheme="minorEastAsia" w:cstheme="minorEastAsia"/>
          <w:b/>
          <w:sz w:val="24"/>
          <w:szCs w:val="24"/>
        </w:rPr>
        <w:t>考核成绩及内容</w:t>
      </w:r>
    </w:p>
    <w:p w14:paraId="4F5759C9">
      <w:pPr>
        <w:widowControl/>
        <w:adjustRightInd w:val="0"/>
        <w:snapToGrid w:val="0"/>
        <w:spacing w:line="360" w:lineRule="auto"/>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lang w:eastAsia="zh-CN"/>
        </w:rPr>
        <w:t>复试面试</w:t>
      </w:r>
      <w:r>
        <w:rPr>
          <w:rFonts w:hint="eastAsia" w:asciiTheme="minorEastAsia" w:hAnsiTheme="minorEastAsia" w:cstheme="minorEastAsia"/>
          <w:b/>
          <w:color w:val="000000"/>
          <w:sz w:val="24"/>
          <w:szCs w:val="24"/>
        </w:rPr>
        <w:t>各考核项目成绩满分为100分。复试</w:t>
      </w:r>
      <w:r>
        <w:rPr>
          <w:rFonts w:hint="eastAsia" w:asciiTheme="minorEastAsia" w:hAnsiTheme="minorEastAsia" w:cstheme="minorEastAsia"/>
          <w:b/>
          <w:color w:val="000000"/>
          <w:sz w:val="24"/>
          <w:szCs w:val="24"/>
          <w:lang w:eastAsia="zh-CN"/>
        </w:rPr>
        <w:t>面试</w:t>
      </w:r>
      <w:r>
        <w:rPr>
          <w:rFonts w:hint="eastAsia" w:asciiTheme="minorEastAsia" w:hAnsiTheme="minorEastAsia" w:cstheme="minorEastAsia"/>
          <w:b/>
          <w:color w:val="000000"/>
          <w:sz w:val="24"/>
          <w:szCs w:val="24"/>
        </w:rPr>
        <w:t>成绩根据各考核项目加权平均后，满分为100分。</w:t>
      </w:r>
    </w:p>
    <w:p w14:paraId="47DEC539">
      <w:pPr>
        <w:widowControl/>
        <w:adjustRightInd w:val="0"/>
        <w:snapToGrid w:val="0"/>
        <w:spacing w:line="360" w:lineRule="auto"/>
        <w:ind w:firstLine="480" w:firstLineChars="200"/>
        <w:jc w:val="left"/>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计算公式：</w:t>
      </w:r>
    </w:p>
    <w:p w14:paraId="1F73947B">
      <w:pPr>
        <w:widowControl/>
        <w:adjustRightInd w:val="0"/>
        <w:snapToGrid w:val="0"/>
        <w:spacing w:line="360" w:lineRule="auto"/>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复试</w:t>
      </w:r>
      <w:r>
        <w:rPr>
          <w:rFonts w:hint="eastAsia" w:asciiTheme="minorEastAsia" w:hAnsiTheme="minorEastAsia" w:cstheme="minorEastAsia"/>
          <w:b/>
          <w:color w:val="000000"/>
          <w:sz w:val="24"/>
          <w:szCs w:val="24"/>
          <w:lang w:eastAsia="zh-CN"/>
        </w:rPr>
        <w:t>面试</w:t>
      </w:r>
      <w:r>
        <w:rPr>
          <w:rFonts w:hint="eastAsia" w:asciiTheme="minorEastAsia" w:hAnsiTheme="minorEastAsia" w:cstheme="minorEastAsia"/>
          <w:b/>
          <w:color w:val="000000"/>
          <w:sz w:val="24"/>
          <w:szCs w:val="24"/>
        </w:rPr>
        <w:t>成绩=专业英语*</w:t>
      </w:r>
      <w:r>
        <w:rPr>
          <w:rFonts w:asciiTheme="minorEastAsia" w:hAnsiTheme="minorEastAsia" w:cstheme="minorEastAsia"/>
          <w:b/>
          <w:color w:val="000000"/>
          <w:sz w:val="24"/>
          <w:szCs w:val="24"/>
        </w:rPr>
        <w:t>30</w:t>
      </w:r>
      <w:r>
        <w:rPr>
          <w:rFonts w:hint="eastAsia" w:asciiTheme="minorEastAsia" w:hAnsiTheme="minorEastAsia" w:cstheme="minorEastAsia"/>
          <w:b/>
          <w:color w:val="000000"/>
          <w:sz w:val="24"/>
          <w:szCs w:val="24"/>
        </w:rPr>
        <w:t>%+专业基础*</w:t>
      </w:r>
      <w:r>
        <w:rPr>
          <w:rFonts w:asciiTheme="minorEastAsia" w:hAnsiTheme="minorEastAsia" w:cstheme="minorEastAsia"/>
          <w:b/>
          <w:color w:val="000000"/>
          <w:sz w:val="24"/>
          <w:szCs w:val="24"/>
        </w:rPr>
        <w:t>30%+专业</w:t>
      </w:r>
      <w:r>
        <w:rPr>
          <w:rFonts w:hint="eastAsia" w:asciiTheme="minorEastAsia" w:hAnsiTheme="minorEastAsia" w:cstheme="minorEastAsia"/>
          <w:b/>
          <w:color w:val="000000"/>
          <w:sz w:val="24"/>
          <w:szCs w:val="24"/>
        </w:rPr>
        <w:t>综合*</w:t>
      </w:r>
      <w:r>
        <w:rPr>
          <w:rFonts w:asciiTheme="minorEastAsia" w:hAnsiTheme="minorEastAsia" w:cstheme="minorEastAsia"/>
          <w:b/>
          <w:color w:val="000000"/>
          <w:sz w:val="24"/>
          <w:szCs w:val="24"/>
        </w:rPr>
        <w:t>40%</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05"/>
        <w:gridCol w:w="3993"/>
        <w:gridCol w:w="1324"/>
      </w:tblGrid>
      <w:tr w14:paraId="355327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590" w:type="dxa"/>
          </w:tcPr>
          <w:p w14:paraId="24B1876F">
            <w:pPr>
              <w:pStyle w:val="16"/>
              <w:spacing w:line="360" w:lineRule="auto"/>
              <w:jc w:val="center"/>
              <w:rPr>
                <w:rFonts w:asciiTheme="minorEastAsia" w:hAnsiTheme="minorEastAsia" w:cstheme="minorEastAsia"/>
                <w:b/>
              </w:rPr>
            </w:pPr>
            <w:r>
              <w:rPr>
                <w:rFonts w:hint="eastAsia" w:asciiTheme="minorEastAsia" w:hAnsiTheme="minorEastAsia" w:cstheme="minorEastAsia"/>
                <w:b/>
              </w:rPr>
              <w:t>考核项目</w:t>
            </w:r>
          </w:p>
        </w:tc>
        <w:tc>
          <w:tcPr>
            <w:tcW w:w="4485" w:type="dxa"/>
          </w:tcPr>
          <w:p w14:paraId="25EDF0DA">
            <w:pPr>
              <w:pStyle w:val="16"/>
              <w:spacing w:line="360" w:lineRule="auto"/>
              <w:jc w:val="center"/>
              <w:rPr>
                <w:rFonts w:asciiTheme="minorEastAsia" w:hAnsiTheme="minorEastAsia" w:cstheme="minorEastAsia"/>
                <w:b/>
              </w:rPr>
            </w:pPr>
            <w:r>
              <w:rPr>
                <w:rFonts w:hint="eastAsia" w:asciiTheme="minorEastAsia" w:hAnsiTheme="minorEastAsia" w:cstheme="minorEastAsia"/>
                <w:b/>
              </w:rPr>
              <w:t>考核内容</w:t>
            </w:r>
          </w:p>
        </w:tc>
        <w:tc>
          <w:tcPr>
            <w:tcW w:w="1463" w:type="dxa"/>
          </w:tcPr>
          <w:p w14:paraId="21D7BF17">
            <w:pPr>
              <w:pStyle w:val="16"/>
              <w:spacing w:line="360" w:lineRule="auto"/>
              <w:jc w:val="center"/>
              <w:rPr>
                <w:rFonts w:asciiTheme="minorEastAsia" w:hAnsiTheme="minorEastAsia" w:cstheme="minorEastAsia"/>
                <w:b/>
              </w:rPr>
            </w:pPr>
            <w:r>
              <w:rPr>
                <w:rFonts w:hint="eastAsia" w:asciiTheme="minorEastAsia" w:hAnsiTheme="minorEastAsia" w:cstheme="minorEastAsia"/>
                <w:b/>
              </w:rPr>
              <w:t>所占分值</w:t>
            </w:r>
          </w:p>
        </w:tc>
      </w:tr>
      <w:tr w14:paraId="4FCD7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jc w:val="center"/>
        </w:trPr>
        <w:tc>
          <w:tcPr>
            <w:tcW w:w="3590" w:type="dxa"/>
            <w:vMerge w:val="restart"/>
            <w:vAlign w:val="center"/>
          </w:tcPr>
          <w:p w14:paraId="0687EA50">
            <w:pPr>
              <w:pStyle w:val="16"/>
              <w:spacing w:line="360" w:lineRule="auto"/>
              <w:jc w:val="center"/>
              <w:rPr>
                <w:rFonts w:asciiTheme="minorEastAsia" w:hAnsiTheme="minorEastAsia" w:cstheme="minorEastAsia"/>
              </w:rPr>
            </w:pPr>
            <w:r>
              <w:rPr>
                <w:rFonts w:hint="eastAsia" w:asciiTheme="minorEastAsia" w:hAnsiTheme="minorEastAsia" w:cstheme="minorEastAsia"/>
                <w:b/>
              </w:rPr>
              <w:t>专业英语</w:t>
            </w:r>
            <w:r>
              <w:rPr>
                <w:rFonts w:asciiTheme="minorEastAsia" w:hAnsiTheme="minorEastAsia" w:cstheme="minorEastAsia"/>
              </w:rPr>
              <w:br w:type="textWrapping"/>
            </w:r>
            <w:r>
              <w:rPr>
                <w:rFonts w:asciiTheme="minorEastAsia" w:hAnsiTheme="minorEastAsia" w:cstheme="minorEastAsia"/>
              </w:rPr>
              <w:t>（</w:t>
            </w:r>
            <w:r>
              <w:rPr>
                <w:rFonts w:hint="eastAsia" w:asciiTheme="minorEastAsia" w:hAnsiTheme="minorEastAsia" w:cstheme="minorEastAsia"/>
              </w:rPr>
              <w:t>主要口语交流</w:t>
            </w:r>
            <w:r>
              <w:rPr>
                <w:rFonts w:asciiTheme="minorEastAsia" w:hAnsiTheme="minorEastAsia" w:cstheme="minorEastAsia"/>
              </w:rPr>
              <w:t>）</w:t>
            </w:r>
            <w:r>
              <w:rPr>
                <w:rFonts w:hint="eastAsia" w:asciiTheme="minorEastAsia" w:hAnsiTheme="minorEastAsia" w:cstheme="minorEastAsia"/>
              </w:rPr>
              <w:t>（100分）</w:t>
            </w:r>
          </w:p>
        </w:tc>
        <w:tc>
          <w:tcPr>
            <w:tcW w:w="4485" w:type="dxa"/>
          </w:tcPr>
          <w:p w14:paraId="35E2F528">
            <w:pPr>
              <w:pStyle w:val="16"/>
              <w:spacing w:line="360" w:lineRule="auto"/>
              <w:rPr>
                <w:rFonts w:asciiTheme="minorEastAsia" w:hAnsiTheme="minorEastAsia" w:cstheme="minorEastAsia"/>
              </w:rPr>
            </w:pPr>
            <w:r>
              <w:rPr>
                <w:rFonts w:hint="eastAsia" w:asciiTheme="minorEastAsia" w:hAnsiTheme="minorEastAsia" w:cstheme="minorEastAsia"/>
              </w:rPr>
              <w:t>日常对话：考察语音语调和基本语法，听力对话等综合表现。</w:t>
            </w:r>
          </w:p>
        </w:tc>
        <w:tc>
          <w:tcPr>
            <w:tcW w:w="1463" w:type="dxa"/>
            <w:vAlign w:val="center"/>
          </w:tcPr>
          <w:p w14:paraId="7633D515">
            <w:pPr>
              <w:spacing w:line="360" w:lineRule="auto"/>
              <w:jc w:val="center"/>
              <w:rPr>
                <w:rFonts w:asciiTheme="minorEastAsia" w:hAnsiTheme="minorEastAsia"/>
                <w:sz w:val="24"/>
              </w:rPr>
            </w:pPr>
            <w:r>
              <w:rPr>
                <w:rFonts w:asciiTheme="minorEastAsia" w:hAnsiTheme="minorEastAsia" w:cstheme="minorEastAsia"/>
                <w:sz w:val="24"/>
              </w:rPr>
              <w:t>30</w:t>
            </w:r>
          </w:p>
        </w:tc>
      </w:tr>
      <w:tr w14:paraId="20EA4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jc w:val="center"/>
        </w:trPr>
        <w:tc>
          <w:tcPr>
            <w:tcW w:w="3590" w:type="dxa"/>
            <w:vMerge w:val="continue"/>
            <w:vAlign w:val="center"/>
          </w:tcPr>
          <w:p w14:paraId="2BD1EE9E">
            <w:pPr>
              <w:pStyle w:val="16"/>
              <w:spacing w:line="360" w:lineRule="auto"/>
              <w:jc w:val="center"/>
              <w:rPr>
                <w:rFonts w:asciiTheme="minorEastAsia" w:hAnsiTheme="minorEastAsia" w:cstheme="minorEastAsia"/>
              </w:rPr>
            </w:pPr>
          </w:p>
        </w:tc>
        <w:tc>
          <w:tcPr>
            <w:tcW w:w="4485" w:type="dxa"/>
          </w:tcPr>
          <w:p w14:paraId="6BA52FE6">
            <w:pPr>
              <w:pStyle w:val="16"/>
              <w:spacing w:line="360" w:lineRule="auto"/>
              <w:rPr>
                <w:rFonts w:asciiTheme="minorEastAsia" w:hAnsiTheme="minorEastAsia" w:cstheme="minorEastAsia"/>
              </w:rPr>
            </w:pPr>
            <w:r>
              <w:rPr>
                <w:rFonts w:hint="eastAsia" w:asciiTheme="minorEastAsia" w:hAnsiTheme="minorEastAsia" w:cstheme="minorEastAsia"/>
              </w:rPr>
              <w:t>专业领域理解和表达能力：专业外文文献阅读、口头翻译与提问。</w:t>
            </w:r>
          </w:p>
        </w:tc>
        <w:tc>
          <w:tcPr>
            <w:tcW w:w="1463" w:type="dxa"/>
            <w:vAlign w:val="center"/>
          </w:tcPr>
          <w:p w14:paraId="18C72F9D">
            <w:pPr>
              <w:spacing w:line="360" w:lineRule="auto"/>
              <w:jc w:val="center"/>
              <w:rPr>
                <w:rFonts w:asciiTheme="minorEastAsia" w:hAnsiTheme="minorEastAsia" w:cstheme="minorEastAsia"/>
                <w:sz w:val="24"/>
              </w:rPr>
            </w:pPr>
            <w:r>
              <w:rPr>
                <w:rFonts w:asciiTheme="minorEastAsia" w:hAnsiTheme="minorEastAsia" w:cstheme="minorEastAsia"/>
                <w:sz w:val="24"/>
              </w:rPr>
              <w:t>70</w:t>
            </w:r>
          </w:p>
        </w:tc>
      </w:tr>
      <w:tr w14:paraId="0F970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jc w:val="center"/>
        </w:trPr>
        <w:tc>
          <w:tcPr>
            <w:tcW w:w="3590" w:type="dxa"/>
            <w:vMerge w:val="restart"/>
            <w:vAlign w:val="center"/>
          </w:tcPr>
          <w:p w14:paraId="0D52C0F8">
            <w:pPr>
              <w:pStyle w:val="16"/>
              <w:spacing w:line="360" w:lineRule="auto"/>
              <w:jc w:val="center"/>
              <w:rPr>
                <w:rFonts w:asciiTheme="minorEastAsia" w:hAnsiTheme="minorEastAsia" w:cstheme="minorEastAsia"/>
              </w:rPr>
            </w:pPr>
            <w:r>
              <w:rPr>
                <w:rFonts w:hint="eastAsia" w:asciiTheme="minorEastAsia" w:hAnsiTheme="minorEastAsia" w:cstheme="minorEastAsia"/>
                <w:b/>
              </w:rPr>
              <w:t>专业基础</w:t>
            </w:r>
            <w:r>
              <w:rPr>
                <w:rFonts w:asciiTheme="minorEastAsia" w:hAnsiTheme="minorEastAsia" w:cstheme="minorEastAsia"/>
                <w:b/>
              </w:rPr>
              <w:br w:type="textWrapping"/>
            </w:r>
            <w:r>
              <w:rPr>
                <w:rFonts w:hint="eastAsia" w:asciiTheme="minorEastAsia" w:hAnsiTheme="minorEastAsia" w:cstheme="minorEastAsia"/>
              </w:rPr>
              <w:t>（基本情况及前期成果介绍）（100分）</w:t>
            </w:r>
          </w:p>
        </w:tc>
        <w:tc>
          <w:tcPr>
            <w:tcW w:w="4485" w:type="dxa"/>
          </w:tcPr>
          <w:p w14:paraId="38EFB323">
            <w:pPr>
              <w:pStyle w:val="16"/>
              <w:spacing w:line="360" w:lineRule="auto"/>
              <w:rPr>
                <w:rFonts w:asciiTheme="minorEastAsia" w:hAnsiTheme="minorEastAsia" w:cstheme="minorEastAsia"/>
                <w:b/>
              </w:rPr>
            </w:pPr>
            <w:r>
              <w:rPr>
                <w:rFonts w:hint="eastAsia" w:asciiTheme="minorEastAsia" w:hAnsiTheme="minorEastAsia" w:cstheme="minorEastAsia"/>
                <w:b/>
              </w:rPr>
              <w:t xml:space="preserve">自我介绍PPT：考察内容、版式与讲解。（内容包括自我介绍及所学课程、取得的成果、博士阶段学业规划及其他。） </w:t>
            </w:r>
          </w:p>
        </w:tc>
        <w:tc>
          <w:tcPr>
            <w:tcW w:w="1463" w:type="dxa"/>
            <w:vAlign w:val="center"/>
          </w:tcPr>
          <w:p w14:paraId="3D4C9336">
            <w:pPr>
              <w:spacing w:line="360" w:lineRule="auto"/>
              <w:jc w:val="center"/>
              <w:rPr>
                <w:rFonts w:asciiTheme="minorEastAsia" w:hAnsiTheme="minorEastAsia" w:cstheme="minorEastAsia"/>
                <w:sz w:val="24"/>
              </w:rPr>
            </w:pPr>
            <w:r>
              <w:rPr>
                <w:rFonts w:asciiTheme="minorEastAsia" w:hAnsiTheme="minorEastAsia" w:cstheme="minorEastAsia"/>
                <w:sz w:val="24"/>
              </w:rPr>
              <w:t>50</w:t>
            </w:r>
          </w:p>
        </w:tc>
      </w:tr>
      <w:tr w14:paraId="65394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3590" w:type="dxa"/>
            <w:vMerge w:val="continue"/>
            <w:vAlign w:val="center"/>
          </w:tcPr>
          <w:p w14:paraId="5794ECB8">
            <w:pPr>
              <w:pStyle w:val="16"/>
              <w:spacing w:line="360" w:lineRule="auto"/>
              <w:jc w:val="center"/>
              <w:rPr>
                <w:rFonts w:asciiTheme="minorEastAsia" w:hAnsiTheme="minorEastAsia" w:cstheme="minorEastAsia"/>
              </w:rPr>
            </w:pPr>
          </w:p>
        </w:tc>
        <w:tc>
          <w:tcPr>
            <w:tcW w:w="4485" w:type="dxa"/>
          </w:tcPr>
          <w:p w14:paraId="77F092FD">
            <w:pPr>
              <w:pStyle w:val="16"/>
              <w:spacing w:line="360" w:lineRule="auto"/>
              <w:rPr>
                <w:rFonts w:asciiTheme="minorEastAsia" w:hAnsiTheme="minorEastAsia" w:cstheme="minorEastAsia"/>
              </w:rPr>
            </w:pPr>
            <w:r>
              <w:rPr>
                <w:rFonts w:hint="eastAsia" w:asciiTheme="minorEastAsia" w:hAnsiTheme="minorEastAsia" w:cstheme="minorEastAsia"/>
              </w:rPr>
              <w:t>专业理论基础知识提问：考察专业基础、成果以及分析解决</w:t>
            </w:r>
            <w:r>
              <w:rPr>
                <w:rFonts w:asciiTheme="minorEastAsia" w:hAnsiTheme="minorEastAsia" w:cstheme="minorEastAsia"/>
              </w:rPr>
              <w:t>问题的</w:t>
            </w:r>
            <w:r>
              <w:rPr>
                <w:rFonts w:hint="eastAsia" w:asciiTheme="minorEastAsia" w:hAnsiTheme="minorEastAsia" w:cstheme="minorEastAsia"/>
              </w:rPr>
              <w:t>综合能力。</w:t>
            </w:r>
          </w:p>
        </w:tc>
        <w:tc>
          <w:tcPr>
            <w:tcW w:w="1463" w:type="dxa"/>
            <w:vAlign w:val="center"/>
          </w:tcPr>
          <w:p w14:paraId="72FB13EC">
            <w:pPr>
              <w:spacing w:line="360" w:lineRule="auto"/>
              <w:jc w:val="center"/>
              <w:rPr>
                <w:rFonts w:asciiTheme="minorEastAsia" w:hAnsiTheme="minorEastAsia" w:cstheme="minorEastAsia"/>
                <w:sz w:val="24"/>
              </w:rPr>
            </w:pPr>
            <w:r>
              <w:rPr>
                <w:rFonts w:hint="eastAsia" w:asciiTheme="minorEastAsia" w:hAnsiTheme="minorEastAsia" w:cstheme="minorEastAsia"/>
                <w:sz w:val="24"/>
              </w:rPr>
              <w:t>5</w:t>
            </w:r>
            <w:r>
              <w:rPr>
                <w:rFonts w:asciiTheme="minorEastAsia" w:hAnsiTheme="minorEastAsia" w:cstheme="minorEastAsia"/>
                <w:sz w:val="24"/>
              </w:rPr>
              <w:t>0</w:t>
            </w:r>
          </w:p>
        </w:tc>
      </w:tr>
      <w:tr w14:paraId="1A306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590" w:type="dxa"/>
            <w:vMerge w:val="restart"/>
            <w:vAlign w:val="center"/>
          </w:tcPr>
          <w:p w14:paraId="505C8796">
            <w:pPr>
              <w:pStyle w:val="16"/>
              <w:spacing w:line="360" w:lineRule="auto"/>
              <w:jc w:val="center"/>
              <w:rPr>
                <w:rFonts w:asciiTheme="minorEastAsia" w:hAnsiTheme="minorEastAsia" w:cstheme="minorEastAsia"/>
              </w:rPr>
            </w:pPr>
            <w:r>
              <w:rPr>
                <w:rFonts w:hint="eastAsia" w:asciiTheme="minorEastAsia" w:hAnsiTheme="minorEastAsia" w:cstheme="minorEastAsia"/>
                <w:b/>
              </w:rPr>
              <w:t>专业综合测试</w:t>
            </w:r>
            <w:r>
              <w:rPr>
                <w:rFonts w:asciiTheme="minorEastAsia" w:hAnsiTheme="minorEastAsia" w:cstheme="minorEastAsia"/>
                <w:b/>
              </w:rPr>
              <w:br w:type="textWrapping"/>
            </w:r>
            <w:r>
              <w:rPr>
                <w:rFonts w:hint="eastAsia" w:asciiTheme="minorEastAsia" w:hAnsiTheme="minorEastAsia" w:cstheme="minorEastAsia"/>
              </w:rPr>
              <w:t>（学术报告或论文）（100分）</w:t>
            </w:r>
          </w:p>
          <w:p w14:paraId="736825F7">
            <w:pPr>
              <w:pStyle w:val="16"/>
              <w:spacing w:line="360" w:lineRule="auto"/>
              <w:jc w:val="center"/>
              <w:rPr>
                <w:rFonts w:asciiTheme="minorEastAsia" w:hAnsiTheme="minorEastAsia" w:cstheme="minorEastAsia"/>
              </w:rPr>
            </w:pPr>
          </w:p>
        </w:tc>
        <w:tc>
          <w:tcPr>
            <w:tcW w:w="4485" w:type="dxa"/>
          </w:tcPr>
          <w:p w14:paraId="12C99C52">
            <w:pPr>
              <w:pStyle w:val="16"/>
              <w:spacing w:line="360" w:lineRule="auto"/>
              <w:rPr>
                <w:rFonts w:asciiTheme="minorEastAsia" w:hAnsiTheme="minorEastAsia" w:cstheme="minorEastAsia"/>
                <w:b/>
              </w:rPr>
            </w:pPr>
            <w:r>
              <w:rPr>
                <w:rFonts w:hint="eastAsia" w:asciiTheme="minorEastAsia" w:hAnsiTheme="minorEastAsia" w:cstheme="minorEastAsia"/>
                <w:b/>
              </w:rPr>
              <w:t>学术报告P</w:t>
            </w:r>
            <w:r>
              <w:rPr>
                <w:rFonts w:asciiTheme="minorEastAsia" w:hAnsiTheme="minorEastAsia" w:cstheme="minorEastAsia"/>
                <w:b/>
              </w:rPr>
              <w:t>PT</w:t>
            </w:r>
            <w:r>
              <w:rPr>
                <w:rFonts w:hint="eastAsia" w:asciiTheme="minorEastAsia" w:hAnsiTheme="minorEastAsia" w:cstheme="minorEastAsia"/>
                <w:b/>
              </w:rPr>
              <w:t>：考察内容、版式与讲解。（内容包括取得的成果和学术初步规划。成果包括国内外研究现状、成果的学术价值、科技和应用潜力等情况；初步学术规划根据自身情况自述。）</w:t>
            </w:r>
          </w:p>
        </w:tc>
        <w:tc>
          <w:tcPr>
            <w:tcW w:w="1463" w:type="dxa"/>
            <w:vAlign w:val="center"/>
          </w:tcPr>
          <w:p w14:paraId="2BFEDF3F">
            <w:pPr>
              <w:spacing w:line="360" w:lineRule="auto"/>
              <w:jc w:val="center"/>
              <w:rPr>
                <w:rFonts w:asciiTheme="minorEastAsia" w:hAnsiTheme="minorEastAsia"/>
                <w:sz w:val="24"/>
              </w:rPr>
            </w:pPr>
            <w:r>
              <w:rPr>
                <w:rFonts w:asciiTheme="minorEastAsia" w:hAnsiTheme="minorEastAsia" w:cstheme="minorEastAsia"/>
                <w:sz w:val="24"/>
              </w:rPr>
              <w:t>50</w:t>
            </w:r>
          </w:p>
        </w:tc>
      </w:tr>
      <w:tr w14:paraId="2865C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8" w:hRule="atLeast"/>
          <w:jc w:val="center"/>
        </w:trPr>
        <w:tc>
          <w:tcPr>
            <w:tcW w:w="3590" w:type="dxa"/>
            <w:vMerge w:val="continue"/>
          </w:tcPr>
          <w:p w14:paraId="70E82C79">
            <w:pPr>
              <w:pStyle w:val="16"/>
              <w:spacing w:line="360" w:lineRule="auto"/>
              <w:rPr>
                <w:rFonts w:asciiTheme="minorEastAsia" w:hAnsiTheme="minorEastAsia" w:cstheme="minorEastAsia"/>
              </w:rPr>
            </w:pPr>
          </w:p>
        </w:tc>
        <w:tc>
          <w:tcPr>
            <w:tcW w:w="4485" w:type="dxa"/>
          </w:tcPr>
          <w:p w14:paraId="0AD71810">
            <w:pPr>
              <w:pStyle w:val="16"/>
              <w:spacing w:line="360" w:lineRule="auto"/>
              <w:rPr>
                <w:rFonts w:asciiTheme="minorEastAsia" w:hAnsiTheme="minorEastAsia" w:cstheme="minorEastAsia"/>
              </w:rPr>
            </w:pPr>
            <w:r>
              <w:rPr>
                <w:rFonts w:hint="eastAsia" w:asciiTheme="minorEastAsia" w:hAnsiTheme="minorEastAsia" w:cstheme="minorEastAsia"/>
              </w:rPr>
              <w:t>学术提问：针对</w:t>
            </w:r>
            <w:r>
              <w:rPr>
                <w:rFonts w:asciiTheme="minorEastAsia" w:hAnsiTheme="minorEastAsia" w:cstheme="minorEastAsia"/>
              </w:rPr>
              <w:t>所做</w:t>
            </w:r>
            <w:r>
              <w:rPr>
                <w:rFonts w:hint="eastAsia" w:asciiTheme="minorEastAsia" w:hAnsiTheme="minorEastAsia" w:cstheme="minorEastAsia"/>
              </w:rPr>
              <w:t>报告</w:t>
            </w:r>
            <w:r>
              <w:rPr>
                <w:rFonts w:asciiTheme="minorEastAsia" w:hAnsiTheme="minorEastAsia" w:cstheme="minorEastAsia"/>
              </w:rPr>
              <w:t>和所提交论文进行</w:t>
            </w:r>
            <w:r>
              <w:rPr>
                <w:rFonts w:hint="eastAsia" w:asciiTheme="minorEastAsia" w:hAnsiTheme="minorEastAsia" w:cstheme="minorEastAsia"/>
              </w:rPr>
              <w:t>考察综合分析及应变能力</w:t>
            </w:r>
          </w:p>
        </w:tc>
        <w:tc>
          <w:tcPr>
            <w:tcW w:w="1463" w:type="dxa"/>
            <w:vAlign w:val="center"/>
          </w:tcPr>
          <w:p w14:paraId="454E1DEC">
            <w:pPr>
              <w:spacing w:line="360" w:lineRule="auto"/>
              <w:jc w:val="center"/>
              <w:rPr>
                <w:rFonts w:asciiTheme="minorEastAsia" w:hAnsiTheme="minorEastAsia" w:cstheme="minorEastAsia"/>
                <w:sz w:val="24"/>
              </w:rPr>
            </w:pPr>
            <w:r>
              <w:rPr>
                <w:rFonts w:asciiTheme="minorEastAsia" w:hAnsiTheme="minorEastAsia" w:cstheme="minorEastAsia"/>
                <w:sz w:val="24"/>
              </w:rPr>
              <w:t>50</w:t>
            </w:r>
          </w:p>
          <w:p w14:paraId="798EEC72">
            <w:pPr>
              <w:spacing w:line="360" w:lineRule="auto"/>
              <w:jc w:val="center"/>
              <w:rPr>
                <w:rFonts w:asciiTheme="minorEastAsia" w:hAnsiTheme="minorEastAsia" w:cstheme="minorEastAsia"/>
                <w:sz w:val="24"/>
              </w:rPr>
            </w:pPr>
          </w:p>
        </w:tc>
      </w:tr>
    </w:tbl>
    <w:p w14:paraId="65171563">
      <w:pPr>
        <w:pStyle w:val="16"/>
        <w:spacing w:line="360" w:lineRule="auto"/>
        <w:ind w:firstLine="480" w:firstLineChars="200"/>
        <w:rPr>
          <w:rFonts w:asciiTheme="minorEastAsia" w:hAnsiTheme="minorEastAsia"/>
        </w:rPr>
      </w:pPr>
      <w:r>
        <w:rPr>
          <w:rFonts w:asciiTheme="minorEastAsia" w:hAnsiTheme="minorEastAsia"/>
        </w:rPr>
        <w:t>说明：</w:t>
      </w:r>
    </w:p>
    <w:p w14:paraId="36C5AE51">
      <w:pPr>
        <w:pStyle w:val="17"/>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asciiTheme="minorEastAsia" w:hAnsiTheme="minorEastAsia"/>
          <w:sz w:val="24"/>
          <w:szCs w:val="24"/>
        </w:rPr>
        <w:t>考生应提前按考核项目准备好PPT演示文件</w:t>
      </w:r>
      <w:r>
        <w:rPr>
          <w:rFonts w:hint="eastAsia" w:asciiTheme="minorEastAsia" w:hAnsiTheme="minorEastAsia"/>
          <w:sz w:val="24"/>
          <w:szCs w:val="24"/>
        </w:rPr>
        <w:t>，</w:t>
      </w:r>
      <w:r>
        <w:rPr>
          <w:rFonts w:hint="eastAsia" w:asciiTheme="minorEastAsia" w:hAnsiTheme="minorEastAsia" w:cstheme="minorEastAsia"/>
          <w:sz w:val="24"/>
          <w:szCs w:val="24"/>
        </w:rPr>
        <w:t>现场提交</w:t>
      </w:r>
      <w:r>
        <w:rPr>
          <w:rFonts w:asciiTheme="minorEastAsia" w:hAnsiTheme="minorEastAsia" w:cstheme="minorEastAsia"/>
          <w:sz w:val="24"/>
          <w:szCs w:val="24"/>
        </w:rPr>
        <w:t>已发表的论文</w:t>
      </w:r>
      <w:r>
        <w:rPr>
          <w:rFonts w:hint="eastAsia" w:asciiTheme="minorEastAsia" w:hAnsiTheme="minorEastAsia" w:cstheme="minorEastAsia"/>
          <w:sz w:val="24"/>
          <w:szCs w:val="24"/>
        </w:rPr>
        <w:t>供</w:t>
      </w:r>
      <w:r>
        <w:rPr>
          <w:rFonts w:asciiTheme="minorEastAsia" w:hAnsiTheme="minorEastAsia" w:cstheme="minorEastAsia"/>
          <w:sz w:val="24"/>
          <w:szCs w:val="24"/>
        </w:rPr>
        <w:t>评委参考。</w:t>
      </w:r>
      <w:r>
        <w:rPr>
          <w:rFonts w:hint="eastAsia" w:asciiTheme="minorEastAsia" w:hAnsiTheme="minorEastAsia"/>
          <w:sz w:val="24"/>
          <w:szCs w:val="24"/>
        </w:rPr>
        <w:t>自我介绍和学术报告连续进行</w:t>
      </w:r>
      <w:r>
        <w:rPr>
          <w:rFonts w:asciiTheme="minorEastAsia" w:hAnsiTheme="minorEastAsia"/>
          <w:sz w:val="24"/>
          <w:szCs w:val="24"/>
        </w:rPr>
        <w:t>，考生自述限时10-15分钟；提问时间</w:t>
      </w:r>
      <w:r>
        <w:rPr>
          <w:rFonts w:hint="eastAsia" w:asciiTheme="minorEastAsia" w:hAnsiTheme="minorEastAsia"/>
          <w:sz w:val="24"/>
          <w:szCs w:val="24"/>
        </w:rPr>
        <w:t>不超过</w:t>
      </w:r>
      <w:r>
        <w:rPr>
          <w:rFonts w:asciiTheme="minorEastAsia" w:hAnsiTheme="minorEastAsia"/>
          <w:sz w:val="24"/>
          <w:szCs w:val="24"/>
        </w:rPr>
        <w:t>15分钟。</w:t>
      </w:r>
    </w:p>
    <w:p w14:paraId="2D4158F2">
      <w:pPr>
        <w:pStyle w:val="17"/>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asciiTheme="minorEastAsia" w:hAnsiTheme="minorEastAsia"/>
          <w:sz w:val="24"/>
          <w:szCs w:val="24"/>
        </w:rPr>
        <w:t>专家对考生进行现场提问。</w:t>
      </w:r>
    </w:p>
    <w:p w14:paraId="7DCF1E31">
      <w:pPr>
        <w:spacing w:line="360" w:lineRule="auto"/>
        <w:ind w:right="57" w:firstLine="420" w:firstLineChars="200"/>
        <w:rPr>
          <w:rFonts w:asciiTheme="minorEastAsia" w:hAnsiTheme="minorEastAsia"/>
          <w:szCs w:val="21"/>
        </w:rPr>
      </w:pPr>
    </w:p>
    <w:p w14:paraId="61FDFEF5">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四</w:t>
      </w:r>
      <w:r>
        <w:rPr>
          <w:rFonts w:hint="eastAsia" w:asciiTheme="minorEastAsia" w:hAnsiTheme="minorEastAsia" w:cstheme="minorEastAsia"/>
          <w:b/>
          <w:sz w:val="24"/>
          <w:szCs w:val="24"/>
        </w:rPr>
        <w:t>、录取</w:t>
      </w:r>
    </w:p>
    <w:p w14:paraId="3F0E7D57">
      <w:pPr>
        <w:pStyle w:val="13"/>
        <w:adjustRightInd w:val="0"/>
        <w:snapToGrid w:val="0"/>
        <w:spacing w:line="360" w:lineRule="auto"/>
        <w:ind w:firstLine="482"/>
        <w:outlineLvl w:val="0"/>
        <w:rPr>
          <w:rFonts w:asciiTheme="minorEastAsia" w:hAnsiTheme="minorEastAsia" w:cstheme="minorEastAsia"/>
          <w:b/>
          <w:bCs/>
          <w:color w:val="000000"/>
          <w:sz w:val="24"/>
          <w:szCs w:val="24"/>
        </w:rPr>
      </w:pPr>
      <w:r>
        <w:rPr>
          <w:rFonts w:hint="eastAsia" w:asciiTheme="minorEastAsia" w:hAnsiTheme="minorEastAsia" w:cstheme="minorEastAsia"/>
          <w:bCs/>
          <w:color w:val="000000"/>
          <w:sz w:val="24"/>
          <w:szCs w:val="24"/>
          <w:lang w:val="en-US" w:eastAsia="zh-CN"/>
        </w:rPr>
        <w:t>1.</w:t>
      </w:r>
      <w:r>
        <w:rPr>
          <w:rFonts w:hint="eastAsia" w:asciiTheme="minorEastAsia" w:hAnsiTheme="minorEastAsia" w:cstheme="minorEastAsia"/>
          <w:b/>
          <w:bCs/>
          <w:color w:val="000000"/>
          <w:sz w:val="24"/>
          <w:szCs w:val="24"/>
        </w:rPr>
        <w:t>最终加权总成绩=科研基础成绩×50%+复试英语笔试成绩×10%+复试面试成绩×40%</w:t>
      </w:r>
    </w:p>
    <w:p w14:paraId="4290CA95">
      <w:pPr>
        <w:pStyle w:val="13"/>
        <w:adjustRightInd w:val="0"/>
        <w:snapToGrid w:val="0"/>
        <w:spacing w:line="360" w:lineRule="auto"/>
        <w:ind w:firstLine="480"/>
        <w:outlineLvl w:val="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2.一级学科对考生的考核记录、考核成绩和导师招生名额进行审查无误后，根据录取原则提出拟录取名单并报送研究生院；研究生院审核无误后，予以拟录取公示。</w:t>
      </w:r>
    </w:p>
    <w:p w14:paraId="520DDC67">
      <w:pPr>
        <w:pStyle w:val="13"/>
        <w:adjustRightInd w:val="0"/>
        <w:snapToGrid w:val="0"/>
        <w:spacing w:line="360" w:lineRule="auto"/>
        <w:ind w:firstLine="480"/>
        <w:outlineLvl w:val="0"/>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lang w:val="en-US" w:eastAsia="zh-CN"/>
        </w:rPr>
        <w:t>3</w:t>
      </w:r>
      <w:r>
        <w:rPr>
          <w:rFonts w:hint="eastAsia" w:asciiTheme="minorEastAsia" w:hAnsiTheme="minorEastAsia" w:cstheme="minorEastAsia"/>
          <w:bCs/>
          <w:color w:val="000000"/>
          <w:sz w:val="24"/>
          <w:szCs w:val="24"/>
        </w:rPr>
        <w:t>.在考核阶段单科成绩不及格、体检不合格、思想品德考核不合格者不予录取。</w:t>
      </w:r>
    </w:p>
    <w:p w14:paraId="370C8157">
      <w:pPr>
        <w:pStyle w:val="13"/>
        <w:adjustRightInd w:val="0"/>
        <w:snapToGrid w:val="0"/>
        <w:spacing w:line="360" w:lineRule="auto"/>
        <w:ind w:firstLine="480"/>
        <w:outlineLvl w:val="0"/>
        <w:rPr>
          <w:rFonts w:hint="eastAsia" w:asciiTheme="minorEastAsia" w:hAnsiTheme="minorEastAsia" w:cstheme="minorEastAsia"/>
          <w:bCs/>
          <w:color w:val="000000"/>
          <w:sz w:val="24"/>
          <w:szCs w:val="24"/>
          <w:lang w:val="en-US" w:eastAsia="zh-CN"/>
        </w:rPr>
      </w:pPr>
      <w:r>
        <w:rPr>
          <w:rFonts w:hint="eastAsia" w:asciiTheme="minorEastAsia" w:hAnsiTheme="minorEastAsia" w:cstheme="minorEastAsia"/>
          <w:bCs/>
          <w:color w:val="000000"/>
          <w:sz w:val="24"/>
          <w:szCs w:val="24"/>
          <w:lang w:val="en-US" w:eastAsia="zh-CN"/>
        </w:rPr>
        <w:t>4.生源不足或未招满的学科和导师可按照学校调剂工作要求，在相同或相近学科复试成绩达到学科要求但未能被第一志愿导师录取的考生中调剂录取。经调剂录取后各学科未能完成的招生计划由学校统一收回重新分配。</w:t>
      </w:r>
    </w:p>
    <w:p w14:paraId="00788655">
      <w:pPr>
        <w:pStyle w:val="13"/>
        <w:adjustRightInd w:val="0"/>
        <w:snapToGrid w:val="0"/>
        <w:spacing w:line="360" w:lineRule="auto"/>
        <w:ind w:firstLine="480"/>
        <w:outlineLvl w:val="0"/>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cstheme="minorEastAsia"/>
          <w:bCs/>
          <w:color w:val="000000"/>
          <w:sz w:val="24"/>
          <w:szCs w:val="24"/>
          <w:lang w:val="en-US" w:eastAsia="zh-CN"/>
        </w:rPr>
        <w:t>5.拟录取的非定向就业考生须在入学时将档案转入北京建筑大学，户口按相关规定自愿迁入，毕业时采取毕业研究生与用人单位“双向选择”的方式，按照学校就业工作实施办法落实就业去向；拟录取的定向就业考生录取前须与我校及定向就业单位签订三方协议，户口、人事档案、工资关系等均不转入北京建筑大学，毕业后按定向协议就业。</w:t>
      </w:r>
    </w:p>
    <w:p w14:paraId="276A4F5F">
      <w:pPr>
        <w:adjustRightInd w:val="0"/>
        <w:snapToGrid w:val="0"/>
        <w:spacing w:line="360" w:lineRule="auto"/>
        <w:ind w:firstLine="482" w:firstLineChars="200"/>
        <w:rPr>
          <w:rFonts w:hint="eastAsia" w:asciiTheme="minorEastAsia" w:hAnsiTheme="minorEastAsia" w:cstheme="minorEastAsia"/>
          <w:b/>
          <w:sz w:val="24"/>
          <w:szCs w:val="24"/>
        </w:rPr>
      </w:pPr>
    </w:p>
    <w:p w14:paraId="7F0A72BF">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、体检</w:t>
      </w:r>
    </w:p>
    <w:p w14:paraId="231B3145">
      <w:pPr>
        <w:pStyle w:val="13"/>
        <w:adjustRightInd w:val="0"/>
        <w:snapToGrid w:val="0"/>
        <w:spacing w:line="360" w:lineRule="auto"/>
        <w:ind w:firstLine="480" w:firstLineChars="200"/>
        <w:outlineLvl w:val="0"/>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lang w:val="en-US" w:eastAsia="zh-CN"/>
        </w:rPr>
        <w:t>录取考生必须体检，体检在入学报到时进行。体检标准参照教育部、原卫生部、中国残联印发的《普通高等学校招生体检工作指导意见》（教学〔</w:t>
      </w:r>
      <w:r>
        <w:rPr>
          <w:rFonts w:hint="default" w:asciiTheme="minorEastAsia" w:hAnsiTheme="minorEastAsia" w:cstheme="minorEastAsia"/>
          <w:bCs/>
          <w:color w:val="000000"/>
          <w:sz w:val="24"/>
          <w:szCs w:val="24"/>
          <w:lang w:val="en-US" w:eastAsia="zh-CN"/>
        </w:rPr>
        <w:t>2003</w:t>
      </w:r>
      <w:r>
        <w:rPr>
          <w:rFonts w:hint="eastAsia" w:asciiTheme="minorEastAsia" w:hAnsiTheme="minorEastAsia" w:cstheme="minorEastAsia"/>
          <w:bCs/>
          <w:color w:val="000000"/>
          <w:sz w:val="24"/>
          <w:szCs w:val="24"/>
          <w:lang w:val="en-US" w:eastAsia="zh-CN"/>
        </w:rPr>
        <w:t>〕</w:t>
      </w:r>
      <w:r>
        <w:rPr>
          <w:rFonts w:hint="default" w:asciiTheme="minorEastAsia" w:hAnsiTheme="minorEastAsia" w:cstheme="minorEastAsia"/>
          <w:bCs/>
          <w:color w:val="000000"/>
          <w:sz w:val="24"/>
          <w:szCs w:val="24"/>
          <w:lang w:val="en-US" w:eastAsia="zh-CN"/>
        </w:rPr>
        <w:t xml:space="preserve">3 </w:t>
      </w:r>
      <w:r>
        <w:rPr>
          <w:rFonts w:hint="eastAsia" w:asciiTheme="minorEastAsia" w:hAnsiTheme="minorEastAsia" w:cstheme="minorEastAsia"/>
          <w:bCs/>
          <w:color w:val="000000"/>
          <w:sz w:val="24"/>
          <w:szCs w:val="24"/>
          <w:lang w:val="en-US" w:eastAsia="zh-CN"/>
        </w:rPr>
        <w:t>号）要求，按照《教育部办公厅卫生部办公厅关于普通高等学校招生学生入学身体检查取消乙肝项目检测有关问题的通知》（教学厅〔</w:t>
      </w:r>
      <w:r>
        <w:rPr>
          <w:rFonts w:hint="default" w:asciiTheme="minorEastAsia" w:hAnsiTheme="minorEastAsia" w:cstheme="minorEastAsia"/>
          <w:bCs/>
          <w:color w:val="000000"/>
          <w:sz w:val="24"/>
          <w:szCs w:val="24"/>
          <w:lang w:val="en-US" w:eastAsia="zh-CN"/>
        </w:rPr>
        <w:t>2010</w:t>
      </w:r>
      <w:r>
        <w:rPr>
          <w:rFonts w:hint="eastAsia" w:asciiTheme="minorEastAsia" w:hAnsiTheme="minorEastAsia" w:cstheme="minorEastAsia"/>
          <w:bCs/>
          <w:color w:val="000000"/>
          <w:sz w:val="24"/>
          <w:szCs w:val="24"/>
          <w:lang w:val="en-US" w:eastAsia="zh-CN"/>
        </w:rPr>
        <w:t>〕</w:t>
      </w:r>
      <w:r>
        <w:rPr>
          <w:rFonts w:hint="default" w:asciiTheme="minorEastAsia" w:hAnsiTheme="minorEastAsia" w:cstheme="minorEastAsia"/>
          <w:bCs/>
          <w:color w:val="000000"/>
          <w:sz w:val="24"/>
          <w:szCs w:val="24"/>
          <w:lang w:val="en-US" w:eastAsia="zh-CN"/>
        </w:rPr>
        <w:t xml:space="preserve">2 </w:t>
      </w:r>
      <w:r>
        <w:rPr>
          <w:rFonts w:hint="eastAsia" w:asciiTheme="minorEastAsia" w:hAnsiTheme="minorEastAsia" w:cstheme="minorEastAsia"/>
          <w:bCs/>
          <w:color w:val="000000"/>
          <w:sz w:val="24"/>
          <w:szCs w:val="24"/>
          <w:lang w:val="en-US" w:eastAsia="zh-CN"/>
        </w:rPr>
        <w:t>号）规定和学 校有关规定执行，不参加体检或者体检不合格者将按有关规定处理。</w:t>
      </w:r>
    </w:p>
    <w:p w14:paraId="6A7C45E5">
      <w:pPr>
        <w:adjustRightInd w:val="0"/>
        <w:snapToGrid w:val="0"/>
        <w:spacing w:line="360" w:lineRule="auto"/>
        <w:ind w:firstLine="482" w:firstLineChars="200"/>
        <w:rPr>
          <w:rFonts w:hint="eastAsia" w:asciiTheme="minorEastAsia" w:hAnsiTheme="minorEastAsia" w:cstheme="minorEastAsia"/>
          <w:b/>
          <w:sz w:val="24"/>
          <w:szCs w:val="24"/>
        </w:rPr>
      </w:pPr>
    </w:p>
    <w:p w14:paraId="3D034D1E">
      <w:pPr>
        <w:adjustRightInd w:val="0"/>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六</w:t>
      </w:r>
      <w:r>
        <w:rPr>
          <w:rFonts w:hint="eastAsia" w:asciiTheme="minorEastAsia" w:hAnsiTheme="minorEastAsia" w:cstheme="minorEastAsia"/>
          <w:b/>
          <w:sz w:val="24"/>
          <w:szCs w:val="24"/>
        </w:rPr>
        <w:t>、咨询及申诉渠道公开</w:t>
      </w:r>
    </w:p>
    <w:p w14:paraId="6D00082E">
      <w:pPr>
        <w:spacing w:line="360" w:lineRule="auto"/>
        <w:ind w:right="57"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为保证</w:t>
      </w:r>
      <w:r>
        <w:rPr>
          <w:rFonts w:hint="eastAsia" w:asciiTheme="minorEastAsia" w:hAnsiTheme="minorEastAsia" w:cstheme="minorEastAsia"/>
          <w:bCs/>
          <w:color w:val="000000"/>
          <w:sz w:val="24"/>
          <w:szCs w:val="24"/>
          <w:lang w:eastAsia="zh-CN"/>
        </w:rPr>
        <w:t>2025</w:t>
      </w:r>
      <w:r>
        <w:rPr>
          <w:rFonts w:hint="eastAsia" w:asciiTheme="minorEastAsia" w:hAnsiTheme="minorEastAsia" w:cstheme="minorEastAsia"/>
          <w:bCs/>
          <w:color w:val="000000"/>
          <w:sz w:val="24"/>
          <w:szCs w:val="24"/>
        </w:rPr>
        <w:t>年博士研究生招生录取工作公平、公正，方便考生反映招生有关情况，我校公布</w:t>
      </w:r>
      <w:r>
        <w:rPr>
          <w:rFonts w:hint="eastAsia" w:asciiTheme="minorEastAsia" w:hAnsiTheme="minorEastAsia" w:cstheme="minorEastAsia"/>
          <w:bCs/>
          <w:color w:val="000000"/>
          <w:sz w:val="24"/>
          <w:szCs w:val="24"/>
          <w:lang w:eastAsia="zh-CN"/>
        </w:rPr>
        <w:t>2025</w:t>
      </w:r>
      <w:r>
        <w:rPr>
          <w:rFonts w:hint="eastAsia" w:asciiTheme="minorEastAsia" w:hAnsiTheme="minorEastAsia" w:cstheme="minorEastAsia"/>
          <w:bCs/>
          <w:color w:val="000000"/>
          <w:sz w:val="24"/>
          <w:szCs w:val="24"/>
        </w:rPr>
        <w:t>年博士研究生招生录取考生接待电话和纪检监察部门受理考生投诉的监督举报电话。</w:t>
      </w:r>
    </w:p>
    <w:p w14:paraId="022C8C46">
      <w:pPr>
        <w:spacing w:line="360" w:lineRule="auto"/>
        <w:ind w:right="57" w:firstLine="480" w:firstLineChars="200"/>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cstheme="minorEastAsia"/>
          <w:bCs/>
          <w:color w:val="000000"/>
          <w:sz w:val="24"/>
          <w:szCs w:val="24"/>
        </w:rPr>
        <w:t>土木与交通工程学院博士研究生招生录取工作接待电话：010-6</w:t>
      </w:r>
      <w:r>
        <w:rPr>
          <w:rFonts w:hint="eastAsia" w:asciiTheme="minorEastAsia" w:hAnsiTheme="minorEastAsia" w:cstheme="minorEastAsia"/>
          <w:bCs/>
          <w:color w:val="000000"/>
          <w:sz w:val="24"/>
          <w:szCs w:val="24"/>
          <w:lang w:val="en-US" w:eastAsia="zh-CN"/>
        </w:rPr>
        <w:t>1209573；</w:t>
      </w:r>
    </w:p>
    <w:p w14:paraId="5BA9BB30">
      <w:pPr>
        <w:spacing w:line="360" w:lineRule="auto"/>
        <w:ind w:right="57" w:firstLine="480" w:firstLineChars="200"/>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学校博士研究生招生录取工作接待电话：</w:t>
      </w:r>
      <w:r>
        <w:rPr>
          <w:rFonts w:hint="default" w:asciiTheme="minorEastAsia" w:hAnsiTheme="minorEastAsia" w:cstheme="minorEastAsia"/>
          <w:bCs/>
          <w:color w:val="000000"/>
          <w:sz w:val="24"/>
          <w:szCs w:val="24"/>
          <w:lang w:val="en-US" w:eastAsia="zh-CN"/>
        </w:rPr>
        <w:t>010-68322241/68364458</w:t>
      </w:r>
      <w:r>
        <w:rPr>
          <w:rFonts w:hint="eastAsia" w:asciiTheme="minorEastAsia" w:hAnsiTheme="minorEastAsia" w:cstheme="minorEastAsia"/>
          <w:bCs/>
          <w:color w:val="000000"/>
          <w:sz w:val="24"/>
          <w:szCs w:val="24"/>
        </w:rPr>
        <w:t>；</w:t>
      </w:r>
    </w:p>
    <w:p w14:paraId="62A46BB4">
      <w:pPr>
        <w:spacing w:line="360" w:lineRule="auto"/>
        <w:ind w:right="57"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学校受理投诉和举报部门纪检监察办公室电话：</w:t>
      </w:r>
      <w:r>
        <w:rPr>
          <w:rFonts w:asciiTheme="minorEastAsia" w:hAnsiTheme="minorEastAsia" w:cstheme="minorEastAsia"/>
          <w:bCs/>
          <w:color w:val="000000"/>
          <w:sz w:val="24"/>
          <w:szCs w:val="24"/>
        </w:rPr>
        <w:t>010-61209094</w:t>
      </w:r>
      <w:r>
        <w:rPr>
          <w:rFonts w:hint="eastAsia" w:asciiTheme="minorEastAsia" w:hAnsiTheme="minorEastAsia" w:cstheme="minorEastAsia"/>
          <w:bCs/>
          <w:color w:val="000000"/>
          <w:sz w:val="24"/>
          <w:szCs w:val="24"/>
        </w:rPr>
        <w:t>；</w:t>
      </w:r>
    </w:p>
    <w:p w14:paraId="2DBFB9FA">
      <w:pPr>
        <w:widowControl/>
        <w:spacing w:line="360" w:lineRule="auto"/>
        <w:ind w:firstLine="480" w:firstLineChars="200"/>
        <w:jc w:val="left"/>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北京教育考试院研究生招生办公室</w:t>
      </w:r>
      <w:r>
        <w:rPr>
          <w:rFonts w:hint="eastAsia" w:asciiTheme="minorEastAsia" w:hAnsiTheme="minorEastAsia" w:cstheme="minorEastAsia"/>
          <w:bCs/>
          <w:color w:val="000000"/>
          <w:sz w:val="24"/>
          <w:szCs w:val="24"/>
          <w:lang w:eastAsia="zh-CN"/>
        </w:rPr>
        <w:t>2025</w:t>
      </w:r>
      <w:r>
        <w:rPr>
          <w:rFonts w:hint="eastAsia" w:asciiTheme="minorEastAsia" w:hAnsiTheme="minorEastAsia" w:cstheme="minorEastAsia"/>
          <w:bCs/>
          <w:color w:val="000000"/>
          <w:sz w:val="24"/>
          <w:szCs w:val="24"/>
        </w:rPr>
        <w:t>年博士研究生招生专用监督电话：</w:t>
      </w:r>
      <w:r>
        <w:rPr>
          <w:rFonts w:asciiTheme="minorEastAsia" w:hAnsiTheme="minorEastAsia" w:cstheme="minorEastAsia"/>
          <w:bCs/>
          <w:color w:val="000000"/>
          <w:sz w:val="24"/>
          <w:szCs w:val="24"/>
        </w:rPr>
        <w:t>010-82837456</w:t>
      </w:r>
      <w:r>
        <w:rPr>
          <w:rFonts w:hint="eastAsia" w:asciiTheme="minorEastAsia" w:hAnsiTheme="minorEastAsia" w:cstheme="minorEastAsia"/>
          <w:bCs/>
          <w:color w:val="000000"/>
          <w:sz w:val="24"/>
          <w:szCs w:val="24"/>
        </w:rPr>
        <w:t>。</w:t>
      </w:r>
    </w:p>
    <w:p w14:paraId="1ACF353C">
      <w:pPr>
        <w:widowControl/>
        <w:spacing w:line="360" w:lineRule="auto"/>
        <w:jc w:val="left"/>
        <w:rPr>
          <w:rFonts w:hint="eastAsia" w:asciiTheme="minorEastAsia" w:hAnsiTheme="minorEastAsia" w:cstheme="minorEastAsia"/>
          <w:bCs/>
          <w:color w:val="000000"/>
          <w:sz w:val="24"/>
          <w:szCs w:val="24"/>
        </w:rPr>
      </w:pPr>
    </w:p>
    <w:p w14:paraId="31E8A370">
      <w:pPr>
        <w:widowControl/>
        <w:spacing w:line="360" w:lineRule="auto"/>
        <w:jc w:val="left"/>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附件</w:t>
      </w:r>
      <w:r>
        <w:rPr>
          <w:rFonts w:hint="eastAsia" w:asciiTheme="minorEastAsia" w:hAnsiTheme="minorEastAsia" w:cstheme="minorEastAsia"/>
          <w:bCs/>
          <w:color w:val="000000"/>
          <w:sz w:val="24"/>
          <w:szCs w:val="24"/>
          <w:lang w:val="en-US" w:eastAsia="zh-CN"/>
        </w:rPr>
        <w:t>一</w:t>
      </w:r>
      <w:r>
        <w:rPr>
          <w:rFonts w:hint="eastAsia" w:asciiTheme="minorEastAsia" w:hAnsiTheme="minorEastAsia" w:cstheme="minorEastAsia"/>
          <w:bCs/>
          <w:color w:val="000000"/>
          <w:sz w:val="24"/>
          <w:szCs w:val="24"/>
        </w:rPr>
        <w:t>：北京建筑大学博士政审表</w:t>
      </w:r>
    </w:p>
    <w:p w14:paraId="10751729">
      <w:pPr>
        <w:spacing w:line="360" w:lineRule="auto"/>
        <w:jc w:val="right"/>
        <w:rPr>
          <w:rFonts w:asciiTheme="minorEastAsia" w:hAnsiTheme="minorEastAsia" w:cstheme="minorEastAsia"/>
          <w:sz w:val="24"/>
          <w:szCs w:val="24"/>
        </w:rPr>
      </w:pPr>
      <w:r>
        <w:rPr>
          <w:rFonts w:hint="eastAsia" w:asciiTheme="minorEastAsia" w:hAnsiTheme="minorEastAsia" w:cstheme="minorEastAsia"/>
          <w:sz w:val="24"/>
          <w:szCs w:val="24"/>
        </w:rPr>
        <w:t>土木与交通工程学院</w:t>
      </w:r>
    </w:p>
    <w:p w14:paraId="7B3FC6C2">
      <w:pPr>
        <w:spacing w:line="360" w:lineRule="auto"/>
        <w:jc w:val="right"/>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eastAsia="zh-CN"/>
        </w:rPr>
        <w:t>2025</w:t>
      </w:r>
      <w:r>
        <w:rPr>
          <w:rFonts w:hint="eastAsia" w:asciiTheme="minorEastAsia" w:hAnsiTheme="minorEastAsia" w:cstheme="minorEastAsia"/>
          <w:sz w:val="24"/>
          <w:szCs w:val="24"/>
        </w:rPr>
        <w:t>年4月1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日</w:t>
      </w:r>
    </w:p>
    <w:p w14:paraId="236DE126">
      <w:pPr>
        <w:spacing w:line="360" w:lineRule="auto"/>
        <w:jc w:val="right"/>
        <w:rPr>
          <w:rFonts w:hint="eastAsia" w:asciiTheme="minorEastAsia" w:hAnsiTheme="minorEastAsia" w:cstheme="minorEastAsia"/>
          <w:sz w:val="24"/>
          <w:szCs w:val="24"/>
        </w:rPr>
      </w:pPr>
    </w:p>
    <w:p w14:paraId="1875FF58">
      <w:pPr>
        <w:spacing w:line="360" w:lineRule="auto"/>
        <w:jc w:val="right"/>
        <w:rPr>
          <w:rFonts w:hint="eastAsia" w:asciiTheme="minorEastAsia" w:hAnsiTheme="minorEastAsia" w:cstheme="minorEastAsia"/>
          <w:sz w:val="24"/>
          <w:szCs w:val="24"/>
        </w:rPr>
      </w:pPr>
    </w:p>
    <w:p w14:paraId="7BFC9970">
      <w:pPr>
        <w:spacing w:line="360" w:lineRule="auto"/>
        <w:jc w:val="right"/>
        <w:rPr>
          <w:rFonts w:hint="eastAsia" w:asciiTheme="minorEastAsia" w:hAnsiTheme="minorEastAsia" w:cstheme="minorEastAsia"/>
          <w:sz w:val="24"/>
          <w:szCs w:val="24"/>
        </w:rPr>
      </w:pPr>
    </w:p>
    <w:p w14:paraId="245FA692">
      <w:pPr>
        <w:rPr>
          <w:rFonts w:hint="eastAsia" w:asciiTheme="minorEastAsia" w:hAnsiTheme="minorEastAsia" w:cstheme="minorEastAsia"/>
          <w:sz w:val="24"/>
          <w:szCs w:val="24"/>
        </w:rPr>
      </w:pPr>
    </w:p>
    <w:p w14:paraId="316E470D">
      <w:pPr>
        <w:rPr>
          <w:rFonts w:hint="eastAsia" w:asciiTheme="minorEastAsia" w:hAnsiTheme="minorEastAsia" w:cstheme="minorEastAsia"/>
          <w:sz w:val="24"/>
          <w:szCs w:val="24"/>
        </w:rPr>
      </w:pPr>
    </w:p>
    <w:p w14:paraId="35677C33">
      <w:pPr>
        <w:rPr>
          <w:rFonts w:hint="eastAsia" w:asciiTheme="minorEastAsia" w:hAnsiTheme="minorEastAsia" w:cstheme="minorEastAsia"/>
          <w:sz w:val="24"/>
          <w:szCs w:val="24"/>
        </w:rPr>
      </w:pPr>
    </w:p>
    <w:p w14:paraId="46B4B4FF">
      <w:pPr>
        <w:rPr>
          <w:rFonts w:hint="eastAsia" w:ascii="楷体_GB2312" w:eastAsia="楷体_GB2312"/>
          <w:b/>
          <w:bCs/>
          <w:sz w:val="36"/>
        </w:rPr>
      </w:pPr>
      <w:r>
        <w:rPr>
          <w:rFonts w:hint="eastAsia" w:asciiTheme="minorEastAsia" w:hAnsiTheme="minorEastAsia" w:cstheme="minorEastAsia"/>
          <w:sz w:val="24"/>
          <w:szCs w:val="24"/>
        </w:rPr>
        <w:t>附件</w:t>
      </w:r>
      <w:r>
        <w:rPr>
          <w:rFonts w:hint="eastAsia" w:asciiTheme="minorEastAsia" w:hAnsiTheme="minorEastAsia" w:cstheme="minorEastAsia"/>
          <w:sz w:val="24"/>
          <w:szCs w:val="24"/>
          <w:lang w:eastAsia="zh-CN"/>
        </w:rPr>
        <w:t>一</w:t>
      </w:r>
      <w:r>
        <w:rPr>
          <w:rFonts w:hint="eastAsia" w:asciiTheme="minorEastAsia" w:hAnsiTheme="minorEastAsia" w:cstheme="minorEastAsia"/>
          <w:sz w:val="24"/>
          <w:szCs w:val="24"/>
        </w:rPr>
        <w:t xml:space="preserve">：                </w:t>
      </w:r>
      <w:r>
        <w:rPr>
          <w:rFonts w:hint="eastAsia" w:ascii="楷体_GB2312" w:eastAsia="楷体_GB2312"/>
          <w:b/>
          <w:bCs/>
          <w:sz w:val="36"/>
        </w:rPr>
        <w:t xml:space="preserve">北京建筑大学 </w:t>
      </w:r>
    </w:p>
    <w:p w14:paraId="5DCA4B73">
      <w:pPr>
        <w:jc w:val="center"/>
        <w:rPr>
          <w:rFonts w:hint="eastAsia" w:ascii="楷体_GB2312" w:eastAsia="楷体_GB2312"/>
          <w:b/>
          <w:bCs/>
          <w:sz w:val="30"/>
        </w:rPr>
      </w:pPr>
      <w:r>
        <w:rPr>
          <w:rFonts w:hint="eastAsia" w:ascii="楷体_GB2312" w:eastAsia="楷体_GB2312"/>
          <w:b/>
          <w:bCs/>
          <w:sz w:val="36"/>
        </w:rPr>
        <w:t>攻读博士学位研究生政治审查表</w:t>
      </w:r>
    </w:p>
    <w:p w14:paraId="6148C8E3">
      <w:pPr>
        <w:jc w:val="center"/>
        <w:rPr>
          <w:rFonts w:hint="eastAsia" w:ascii="楷体_GB2312" w:eastAsia="楷体_GB2312"/>
          <w:b/>
          <w:bCs/>
          <w:sz w:val="1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299"/>
        <w:gridCol w:w="2061"/>
        <w:gridCol w:w="2799"/>
        <w:gridCol w:w="1496"/>
        <w:gridCol w:w="1172"/>
      </w:tblGrid>
      <w:tr w14:paraId="2640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883" w:type="dxa"/>
            <w:vAlign w:val="center"/>
          </w:tcPr>
          <w:p w14:paraId="7DC9FEDC">
            <w:pPr>
              <w:rPr>
                <w:rFonts w:hint="eastAsia"/>
                <w:b/>
                <w:bCs/>
                <w:sz w:val="28"/>
              </w:rPr>
            </w:pPr>
            <w:r>
              <w:rPr>
                <w:rFonts w:hint="eastAsia"/>
                <w:b/>
                <w:bCs/>
                <w:sz w:val="28"/>
              </w:rPr>
              <w:t>姓名</w:t>
            </w:r>
          </w:p>
        </w:tc>
        <w:tc>
          <w:tcPr>
            <w:tcW w:w="1299" w:type="dxa"/>
            <w:vAlign w:val="center"/>
          </w:tcPr>
          <w:p w14:paraId="4C75FD11">
            <w:pPr>
              <w:jc w:val="center"/>
              <w:rPr>
                <w:rFonts w:hint="eastAsia"/>
                <w:b/>
                <w:bCs/>
                <w:i/>
                <w:iCs/>
                <w:sz w:val="28"/>
                <w:u w:val="single"/>
              </w:rPr>
            </w:pPr>
          </w:p>
        </w:tc>
        <w:tc>
          <w:tcPr>
            <w:tcW w:w="2061" w:type="dxa"/>
            <w:vAlign w:val="center"/>
          </w:tcPr>
          <w:p w14:paraId="37CADBA1">
            <w:pPr>
              <w:jc w:val="center"/>
              <w:rPr>
                <w:rFonts w:hint="eastAsia"/>
                <w:b/>
                <w:bCs/>
                <w:sz w:val="28"/>
              </w:rPr>
            </w:pPr>
            <w:r>
              <w:rPr>
                <w:rFonts w:hint="eastAsia"/>
                <w:b/>
                <w:bCs/>
                <w:sz w:val="28"/>
              </w:rPr>
              <w:t>身份证号</w:t>
            </w:r>
          </w:p>
        </w:tc>
        <w:tc>
          <w:tcPr>
            <w:tcW w:w="2799" w:type="dxa"/>
            <w:vAlign w:val="center"/>
          </w:tcPr>
          <w:p w14:paraId="0444F6C4">
            <w:pPr>
              <w:jc w:val="center"/>
              <w:rPr>
                <w:rFonts w:hint="eastAsia"/>
                <w:b/>
                <w:bCs/>
                <w:sz w:val="28"/>
              </w:rPr>
            </w:pPr>
          </w:p>
        </w:tc>
        <w:tc>
          <w:tcPr>
            <w:tcW w:w="1496" w:type="dxa"/>
            <w:vAlign w:val="center"/>
          </w:tcPr>
          <w:p w14:paraId="488C9B4C">
            <w:pPr>
              <w:rPr>
                <w:rFonts w:hint="eastAsia"/>
                <w:b/>
                <w:bCs/>
                <w:sz w:val="28"/>
              </w:rPr>
            </w:pPr>
            <w:r>
              <w:rPr>
                <w:rFonts w:hint="eastAsia"/>
                <w:b/>
                <w:bCs/>
                <w:sz w:val="28"/>
              </w:rPr>
              <w:t>出生年月</w:t>
            </w:r>
          </w:p>
        </w:tc>
        <w:tc>
          <w:tcPr>
            <w:tcW w:w="1172" w:type="dxa"/>
            <w:vAlign w:val="center"/>
          </w:tcPr>
          <w:p w14:paraId="75E85488">
            <w:pPr>
              <w:jc w:val="center"/>
              <w:rPr>
                <w:rFonts w:hint="eastAsia"/>
                <w:b/>
                <w:bCs/>
                <w:sz w:val="28"/>
              </w:rPr>
            </w:pPr>
          </w:p>
        </w:tc>
      </w:tr>
      <w:tr w14:paraId="6D60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83" w:type="dxa"/>
          </w:tcPr>
          <w:p w14:paraId="7D8B715E">
            <w:pPr>
              <w:ind w:right="71" w:rightChars="34"/>
              <w:rPr>
                <w:rFonts w:hint="eastAsia"/>
                <w:b/>
                <w:bCs/>
                <w:sz w:val="28"/>
              </w:rPr>
            </w:pPr>
            <w:r>
              <w:rPr>
                <w:rFonts w:hint="eastAsia"/>
                <w:b/>
                <w:bCs/>
                <w:sz w:val="28"/>
              </w:rPr>
              <w:t>性别</w:t>
            </w:r>
          </w:p>
        </w:tc>
        <w:tc>
          <w:tcPr>
            <w:tcW w:w="1299" w:type="dxa"/>
          </w:tcPr>
          <w:p w14:paraId="04910C5D">
            <w:pPr>
              <w:jc w:val="center"/>
              <w:rPr>
                <w:rFonts w:hint="eastAsia"/>
                <w:b/>
                <w:bCs/>
                <w:sz w:val="28"/>
              </w:rPr>
            </w:pPr>
          </w:p>
        </w:tc>
        <w:tc>
          <w:tcPr>
            <w:tcW w:w="2061" w:type="dxa"/>
          </w:tcPr>
          <w:p w14:paraId="173D58DE">
            <w:pPr>
              <w:jc w:val="center"/>
              <w:rPr>
                <w:rFonts w:hint="eastAsia"/>
                <w:b/>
                <w:bCs/>
                <w:sz w:val="28"/>
              </w:rPr>
            </w:pPr>
            <w:r>
              <w:rPr>
                <w:rFonts w:hint="eastAsia"/>
                <w:b/>
                <w:bCs/>
                <w:sz w:val="28"/>
              </w:rPr>
              <w:t>学习工作单位</w:t>
            </w:r>
          </w:p>
        </w:tc>
        <w:tc>
          <w:tcPr>
            <w:tcW w:w="2799" w:type="dxa"/>
          </w:tcPr>
          <w:p w14:paraId="11DE2F5A">
            <w:pPr>
              <w:jc w:val="center"/>
              <w:rPr>
                <w:rFonts w:hint="eastAsia"/>
                <w:b/>
                <w:bCs/>
                <w:sz w:val="28"/>
              </w:rPr>
            </w:pPr>
          </w:p>
        </w:tc>
        <w:tc>
          <w:tcPr>
            <w:tcW w:w="1496" w:type="dxa"/>
          </w:tcPr>
          <w:p w14:paraId="7EF1668A">
            <w:pPr>
              <w:rPr>
                <w:rFonts w:hint="eastAsia"/>
                <w:b/>
                <w:bCs/>
                <w:sz w:val="28"/>
              </w:rPr>
            </w:pPr>
            <w:r>
              <w:rPr>
                <w:rFonts w:hint="eastAsia"/>
                <w:b/>
                <w:bCs/>
                <w:sz w:val="28"/>
              </w:rPr>
              <w:t>政治面貌</w:t>
            </w:r>
          </w:p>
        </w:tc>
        <w:tc>
          <w:tcPr>
            <w:tcW w:w="1172" w:type="dxa"/>
            <w:vAlign w:val="center"/>
          </w:tcPr>
          <w:p w14:paraId="1AC61F60">
            <w:pPr>
              <w:jc w:val="center"/>
              <w:rPr>
                <w:rFonts w:hint="eastAsia"/>
                <w:b/>
                <w:bCs/>
                <w:sz w:val="28"/>
              </w:rPr>
            </w:pPr>
          </w:p>
        </w:tc>
      </w:tr>
      <w:tr w14:paraId="7412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jc w:val="center"/>
        </w:trPr>
        <w:tc>
          <w:tcPr>
            <w:tcW w:w="2182" w:type="dxa"/>
            <w:gridSpan w:val="2"/>
          </w:tcPr>
          <w:p w14:paraId="2C62E100">
            <w:pPr>
              <w:rPr>
                <w:rFonts w:hint="eastAsia"/>
                <w:b/>
                <w:bCs/>
                <w:sz w:val="28"/>
              </w:rPr>
            </w:pPr>
          </w:p>
          <w:p w14:paraId="4C912F03">
            <w:pPr>
              <w:rPr>
                <w:rFonts w:hint="eastAsia"/>
                <w:b/>
                <w:bCs/>
                <w:sz w:val="28"/>
              </w:rPr>
            </w:pPr>
          </w:p>
          <w:p w14:paraId="246DAF02">
            <w:pPr>
              <w:jc w:val="center"/>
              <w:rPr>
                <w:rFonts w:hint="eastAsia"/>
                <w:b/>
                <w:bCs/>
                <w:sz w:val="28"/>
              </w:rPr>
            </w:pPr>
            <w:r>
              <w:rPr>
                <w:rFonts w:hint="eastAsia"/>
                <w:b/>
                <w:bCs/>
                <w:sz w:val="28"/>
              </w:rPr>
              <w:t>考生所在单位</w:t>
            </w:r>
          </w:p>
          <w:p w14:paraId="71956AF9">
            <w:pPr>
              <w:jc w:val="center"/>
              <w:rPr>
                <w:rFonts w:hint="eastAsia"/>
                <w:b/>
                <w:bCs/>
                <w:sz w:val="28"/>
              </w:rPr>
            </w:pPr>
            <w:r>
              <w:rPr>
                <w:rFonts w:hint="eastAsia"/>
                <w:b/>
                <w:bCs/>
                <w:sz w:val="28"/>
              </w:rPr>
              <w:t>政审意见</w:t>
            </w:r>
          </w:p>
        </w:tc>
        <w:tc>
          <w:tcPr>
            <w:tcW w:w="7528" w:type="dxa"/>
            <w:gridSpan w:val="4"/>
          </w:tcPr>
          <w:p w14:paraId="71415131">
            <w:pPr>
              <w:rPr>
                <w:rFonts w:hint="eastAsia"/>
                <w:b/>
                <w:bCs/>
                <w:sz w:val="28"/>
              </w:rPr>
            </w:pPr>
            <w:r>
              <w:rPr>
                <w:rFonts w:hint="eastAsia"/>
                <w:b/>
                <w:bCs/>
                <w:sz w:val="28"/>
              </w:rPr>
              <w:t>（包括政治思想表现、学习工作情况、身体状况等）</w:t>
            </w:r>
          </w:p>
          <w:p w14:paraId="07CB2557">
            <w:pPr>
              <w:rPr>
                <w:rFonts w:hint="eastAsia"/>
                <w:b/>
                <w:bCs/>
                <w:sz w:val="28"/>
              </w:rPr>
            </w:pPr>
          </w:p>
          <w:p w14:paraId="12B455FE">
            <w:pPr>
              <w:rPr>
                <w:rFonts w:hint="eastAsia"/>
                <w:b/>
                <w:bCs/>
                <w:sz w:val="28"/>
              </w:rPr>
            </w:pPr>
          </w:p>
          <w:p w14:paraId="707A8C1A">
            <w:pPr>
              <w:rPr>
                <w:rFonts w:hint="eastAsia"/>
                <w:b/>
                <w:bCs/>
                <w:sz w:val="28"/>
              </w:rPr>
            </w:pPr>
          </w:p>
          <w:p w14:paraId="74A404FA">
            <w:pPr>
              <w:rPr>
                <w:rFonts w:hint="eastAsia"/>
                <w:b/>
                <w:bCs/>
                <w:sz w:val="28"/>
              </w:rPr>
            </w:pPr>
          </w:p>
          <w:p w14:paraId="73384FC8">
            <w:pPr>
              <w:rPr>
                <w:rFonts w:hint="eastAsia"/>
                <w:b/>
                <w:bCs/>
                <w:sz w:val="28"/>
              </w:rPr>
            </w:pPr>
          </w:p>
          <w:p w14:paraId="0F03AB28">
            <w:pPr>
              <w:rPr>
                <w:rFonts w:hint="eastAsia"/>
                <w:b/>
                <w:bCs/>
                <w:sz w:val="28"/>
              </w:rPr>
            </w:pPr>
          </w:p>
          <w:p w14:paraId="4C7AA941">
            <w:pPr>
              <w:rPr>
                <w:rFonts w:hint="eastAsia"/>
                <w:b/>
                <w:bCs/>
                <w:sz w:val="28"/>
              </w:rPr>
            </w:pPr>
          </w:p>
          <w:p w14:paraId="217C625A">
            <w:pPr>
              <w:ind w:firstLine="5622" w:firstLineChars="2000"/>
              <w:rPr>
                <w:rFonts w:hint="eastAsia"/>
                <w:b/>
                <w:bCs/>
                <w:sz w:val="28"/>
              </w:rPr>
            </w:pPr>
            <w:r>
              <w:rPr>
                <w:rFonts w:hint="eastAsia"/>
                <w:b/>
                <w:bCs/>
                <w:sz w:val="28"/>
              </w:rPr>
              <w:t>单位盖章</w:t>
            </w:r>
          </w:p>
          <w:p w14:paraId="31F5BBF5">
            <w:pPr>
              <w:ind w:firstLine="281" w:firstLineChars="100"/>
              <w:rPr>
                <w:rFonts w:hint="eastAsia"/>
                <w:b/>
                <w:bCs/>
                <w:sz w:val="28"/>
              </w:rPr>
            </w:pPr>
            <w:r>
              <w:rPr>
                <w:rFonts w:hint="eastAsia"/>
                <w:b/>
                <w:bCs/>
                <w:sz w:val="28"/>
              </w:rPr>
              <w:t>审查人（签字）：                     年   月   日</w:t>
            </w:r>
          </w:p>
        </w:tc>
      </w:tr>
      <w:tr w14:paraId="2869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2182" w:type="dxa"/>
            <w:gridSpan w:val="2"/>
            <w:vAlign w:val="center"/>
          </w:tcPr>
          <w:p w14:paraId="5023A7F7">
            <w:pPr>
              <w:jc w:val="center"/>
              <w:rPr>
                <w:rFonts w:hint="eastAsia"/>
                <w:b/>
                <w:bCs/>
                <w:sz w:val="28"/>
              </w:rPr>
            </w:pPr>
            <w:r>
              <w:rPr>
                <w:rFonts w:hint="eastAsia"/>
                <w:b/>
                <w:bCs/>
                <w:sz w:val="28"/>
              </w:rPr>
              <w:t>招生单位</w:t>
            </w:r>
          </w:p>
          <w:p w14:paraId="70B9899B">
            <w:pPr>
              <w:jc w:val="center"/>
              <w:rPr>
                <w:rFonts w:hint="eastAsia"/>
                <w:b/>
                <w:bCs/>
                <w:sz w:val="28"/>
              </w:rPr>
            </w:pPr>
            <w:r>
              <w:rPr>
                <w:rFonts w:hint="eastAsia"/>
                <w:b/>
                <w:bCs/>
                <w:sz w:val="28"/>
              </w:rPr>
              <w:t>政审意见</w:t>
            </w:r>
          </w:p>
        </w:tc>
        <w:tc>
          <w:tcPr>
            <w:tcW w:w="7528" w:type="dxa"/>
            <w:gridSpan w:val="4"/>
          </w:tcPr>
          <w:p w14:paraId="52DFC91D">
            <w:pPr>
              <w:rPr>
                <w:rFonts w:hint="eastAsia"/>
                <w:b/>
                <w:bCs/>
                <w:sz w:val="28"/>
              </w:rPr>
            </w:pPr>
          </w:p>
          <w:p w14:paraId="72350BE4">
            <w:pPr>
              <w:rPr>
                <w:rFonts w:hint="eastAsia"/>
                <w:b/>
                <w:bCs/>
                <w:sz w:val="28"/>
              </w:rPr>
            </w:pPr>
          </w:p>
          <w:p w14:paraId="4BCD8CA7">
            <w:pPr>
              <w:ind w:firstLine="5622" w:firstLineChars="2000"/>
              <w:rPr>
                <w:rFonts w:hint="eastAsia"/>
                <w:b/>
                <w:bCs/>
                <w:sz w:val="28"/>
              </w:rPr>
            </w:pPr>
          </w:p>
          <w:p w14:paraId="036DDD82">
            <w:pPr>
              <w:ind w:firstLine="281" w:firstLineChars="100"/>
              <w:rPr>
                <w:rFonts w:hint="eastAsia"/>
                <w:b/>
                <w:bCs/>
                <w:sz w:val="28"/>
              </w:rPr>
            </w:pPr>
            <w:r>
              <w:rPr>
                <w:rFonts w:hint="eastAsia"/>
                <w:b/>
                <w:bCs/>
                <w:sz w:val="28"/>
              </w:rPr>
              <w:t>审查人（签字）：                      年   月   日</w:t>
            </w:r>
          </w:p>
        </w:tc>
      </w:tr>
      <w:tr w14:paraId="6932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182" w:type="dxa"/>
            <w:gridSpan w:val="2"/>
            <w:vAlign w:val="center"/>
          </w:tcPr>
          <w:p w14:paraId="14B694AC">
            <w:pPr>
              <w:jc w:val="center"/>
              <w:rPr>
                <w:rFonts w:hint="eastAsia"/>
                <w:b/>
                <w:bCs/>
                <w:sz w:val="28"/>
              </w:rPr>
            </w:pPr>
            <w:r>
              <w:rPr>
                <w:rFonts w:hint="eastAsia"/>
                <w:b/>
                <w:bCs/>
                <w:sz w:val="28"/>
              </w:rPr>
              <w:t>备注</w:t>
            </w:r>
          </w:p>
        </w:tc>
        <w:tc>
          <w:tcPr>
            <w:tcW w:w="7528" w:type="dxa"/>
            <w:gridSpan w:val="4"/>
          </w:tcPr>
          <w:p w14:paraId="59EB46C7">
            <w:pPr>
              <w:rPr>
                <w:rFonts w:hint="eastAsia"/>
                <w:bCs/>
                <w:sz w:val="28"/>
              </w:rPr>
            </w:pPr>
          </w:p>
        </w:tc>
      </w:tr>
    </w:tbl>
    <w:p w14:paraId="5C3E8FE8">
      <w:pPr>
        <w:ind w:left="357" w:leftChars="-171" w:right="-290" w:rightChars="-138" w:hanging="716" w:hangingChars="256"/>
        <w:jc w:val="left"/>
        <w:rPr>
          <w:rFonts w:hint="eastAsia"/>
          <w:bCs/>
          <w:sz w:val="28"/>
        </w:rPr>
      </w:pPr>
      <w:r>
        <w:rPr>
          <w:rFonts w:hint="eastAsia"/>
          <w:sz w:val="28"/>
        </w:rPr>
        <w:t>说明：1、本表</w:t>
      </w:r>
      <w:r>
        <w:rPr>
          <w:rFonts w:hint="eastAsia"/>
          <w:bCs/>
          <w:sz w:val="28"/>
        </w:rPr>
        <w:t>由考生所在单位组织部门填写并加盖公章。</w:t>
      </w:r>
    </w:p>
    <w:p w14:paraId="35BF2505">
      <w:pPr>
        <w:ind w:firstLine="358" w:firstLineChars="128"/>
      </w:pPr>
      <w:r>
        <w:rPr>
          <w:rFonts w:hint="eastAsia"/>
          <w:bCs/>
          <w:sz w:val="28"/>
        </w:rPr>
        <w:t>2、若无组织部门可以由人事档案单位或本人所居住社区出具证明。</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OGQ5NWM3ODYxYjRkMTE1MGU5ZDA3YzJjZjQ0ZDAifQ=="/>
  </w:docVars>
  <w:rsids>
    <w:rsidRoot w:val="526A13ED"/>
    <w:rsid w:val="0000689F"/>
    <w:rsid w:val="00012D1D"/>
    <w:rsid w:val="0002054E"/>
    <w:rsid w:val="00042177"/>
    <w:rsid w:val="0005329F"/>
    <w:rsid w:val="000F689B"/>
    <w:rsid w:val="0010286B"/>
    <w:rsid w:val="001239A3"/>
    <w:rsid w:val="00133270"/>
    <w:rsid w:val="001644A8"/>
    <w:rsid w:val="0017670E"/>
    <w:rsid w:val="001A3E5D"/>
    <w:rsid w:val="001C4B22"/>
    <w:rsid w:val="001D6889"/>
    <w:rsid w:val="00264575"/>
    <w:rsid w:val="0027645D"/>
    <w:rsid w:val="00281228"/>
    <w:rsid w:val="002813FD"/>
    <w:rsid w:val="002915C9"/>
    <w:rsid w:val="002C05C4"/>
    <w:rsid w:val="002D1A02"/>
    <w:rsid w:val="00313F80"/>
    <w:rsid w:val="00380A36"/>
    <w:rsid w:val="003A2A1B"/>
    <w:rsid w:val="003A6776"/>
    <w:rsid w:val="003C6BA4"/>
    <w:rsid w:val="003E35F4"/>
    <w:rsid w:val="003F252A"/>
    <w:rsid w:val="00437B25"/>
    <w:rsid w:val="00477AF9"/>
    <w:rsid w:val="00487E50"/>
    <w:rsid w:val="00491579"/>
    <w:rsid w:val="004D4AAF"/>
    <w:rsid w:val="004F4170"/>
    <w:rsid w:val="00502239"/>
    <w:rsid w:val="00541354"/>
    <w:rsid w:val="00572411"/>
    <w:rsid w:val="00584B75"/>
    <w:rsid w:val="00587914"/>
    <w:rsid w:val="005A3C1B"/>
    <w:rsid w:val="005B4AC6"/>
    <w:rsid w:val="005D489A"/>
    <w:rsid w:val="005E64D0"/>
    <w:rsid w:val="005F1209"/>
    <w:rsid w:val="00640014"/>
    <w:rsid w:val="00646536"/>
    <w:rsid w:val="006624E6"/>
    <w:rsid w:val="00662648"/>
    <w:rsid w:val="006655B2"/>
    <w:rsid w:val="006B51E8"/>
    <w:rsid w:val="006D2806"/>
    <w:rsid w:val="00784240"/>
    <w:rsid w:val="007B362A"/>
    <w:rsid w:val="007B67B4"/>
    <w:rsid w:val="007C3111"/>
    <w:rsid w:val="007C4631"/>
    <w:rsid w:val="00802627"/>
    <w:rsid w:val="008333C6"/>
    <w:rsid w:val="00834242"/>
    <w:rsid w:val="00846650"/>
    <w:rsid w:val="008D3D53"/>
    <w:rsid w:val="009041B1"/>
    <w:rsid w:val="00915D54"/>
    <w:rsid w:val="00953B04"/>
    <w:rsid w:val="0096265A"/>
    <w:rsid w:val="00963C44"/>
    <w:rsid w:val="00972D38"/>
    <w:rsid w:val="00A12348"/>
    <w:rsid w:val="00A13376"/>
    <w:rsid w:val="00A51ED7"/>
    <w:rsid w:val="00A910F8"/>
    <w:rsid w:val="00A9300C"/>
    <w:rsid w:val="00AD5FB7"/>
    <w:rsid w:val="00AE1CB2"/>
    <w:rsid w:val="00AF7CAC"/>
    <w:rsid w:val="00B1015B"/>
    <w:rsid w:val="00B24799"/>
    <w:rsid w:val="00B27595"/>
    <w:rsid w:val="00B55180"/>
    <w:rsid w:val="00B90115"/>
    <w:rsid w:val="00B95272"/>
    <w:rsid w:val="00B95543"/>
    <w:rsid w:val="00B96263"/>
    <w:rsid w:val="00BC36B3"/>
    <w:rsid w:val="00BD3820"/>
    <w:rsid w:val="00BD58E5"/>
    <w:rsid w:val="00C904C6"/>
    <w:rsid w:val="00CC7490"/>
    <w:rsid w:val="00D1644E"/>
    <w:rsid w:val="00D42968"/>
    <w:rsid w:val="00D667C9"/>
    <w:rsid w:val="00D91231"/>
    <w:rsid w:val="00E40F88"/>
    <w:rsid w:val="00E41086"/>
    <w:rsid w:val="00E87791"/>
    <w:rsid w:val="00EC1682"/>
    <w:rsid w:val="00EF4D5A"/>
    <w:rsid w:val="00F062A2"/>
    <w:rsid w:val="00F10341"/>
    <w:rsid w:val="00F61573"/>
    <w:rsid w:val="00F6647B"/>
    <w:rsid w:val="00F839D5"/>
    <w:rsid w:val="00FA1CEC"/>
    <w:rsid w:val="00FB1485"/>
    <w:rsid w:val="00FC3E27"/>
    <w:rsid w:val="00FD0A8C"/>
    <w:rsid w:val="00FF10D8"/>
    <w:rsid w:val="00FF509D"/>
    <w:rsid w:val="04D34B07"/>
    <w:rsid w:val="06FF36D7"/>
    <w:rsid w:val="07F744E2"/>
    <w:rsid w:val="08FF4257"/>
    <w:rsid w:val="099003BD"/>
    <w:rsid w:val="0B036362"/>
    <w:rsid w:val="0C6531F3"/>
    <w:rsid w:val="0EDD2A22"/>
    <w:rsid w:val="119F0F1F"/>
    <w:rsid w:val="12E74585"/>
    <w:rsid w:val="14981058"/>
    <w:rsid w:val="150C1A74"/>
    <w:rsid w:val="1573532A"/>
    <w:rsid w:val="15A72AC8"/>
    <w:rsid w:val="15E6292B"/>
    <w:rsid w:val="19FB0820"/>
    <w:rsid w:val="1A934A7D"/>
    <w:rsid w:val="1BF260EF"/>
    <w:rsid w:val="1C082D84"/>
    <w:rsid w:val="1CE972CC"/>
    <w:rsid w:val="1EA1045E"/>
    <w:rsid w:val="1F743B7A"/>
    <w:rsid w:val="209D0A06"/>
    <w:rsid w:val="25BF7AD0"/>
    <w:rsid w:val="25E537B1"/>
    <w:rsid w:val="269F3A2A"/>
    <w:rsid w:val="293B152B"/>
    <w:rsid w:val="297D4033"/>
    <w:rsid w:val="2A9514BA"/>
    <w:rsid w:val="2B3A7A9B"/>
    <w:rsid w:val="2C5D4C5F"/>
    <w:rsid w:val="2EC1173E"/>
    <w:rsid w:val="2F217DBD"/>
    <w:rsid w:val="2FC32EBB"/>
    <w:rsid w:val="31083811"/>
    <w:rsid w:val="31F15035"/>
    <w:rsid w:val="34133FCE"/>
    <w:rsid w:val="3450310D"/>
    <w:rsid w:val="354C2786"/>
    <w:rsid w:val="35D6598F"/>
    <w:rsid w:val="38D740E1"/>
    <w:rsid w:val="393D1016"/>
    <w:rsid w:val="39DC0FC0"/>
    <w:rsid w:val="3A3C5068"/>
    <w:rsid w:val="3C355759"/>
    <w:rsid w:val="3D0B06E4"/>
    <w:rsid w:val="3ED174FB"/>
    <w:rsid w:val="3F12422C"/>
    <w:rsid w:val="41E15FFB"/>
    <w:rsid w:val="4222599C"/>
    <w:rsid w:val="424B5029"/>
    <w:rsid w:val="428D210C"/>
    <w:rsid w:val="42A94287"/>
    <w:rsid w:val="43B67AA4"/>
    <w:rsid w:val="44BE0E70"/>
    <w:rsid w:val="4506318C"/>
    <w:rsid w:val="469906BE"/>
    <w:rsid w:val="47516533"/>
    <w:rsid w:val="4A156043"/>
    <w:rsid w:val="4A50557D"/>
    <w:rsid w:val="4A6C6E6C"/>
    <w:rsid w:val="4C013FC0"/>
    <w:rsid w:val="4CF23B3A"/>
    <w:rsid w:val="4E705FF0"/>
    <w:rsid w:val="4EFC7BC5"/>
    <w:rsid w:val="4F0F26B8"/>
    <w:rsid w:val="505144A3"/>
    <w:rsid w:val="526A13ED"/>
    <w:rsid w:val="526C6FFC"/>
    <w:rsid w:val="52AB6A2B"/>
    <w:rsid w:val="52CE5B21"/>
    <w:rsid w:val="542714D1"/>
    <w:rsid w:val="54547E88"/>
    <w:rsid w:val="5713562D"/>
    <w:rsid w:val="57C70E9D"/>
    <w:rsid w:val="584137CB"/>
    <w:rsid w:val="58FA0E09"/>
    <w:rsid w:val="596D4D62"/>
    <w:rsid w:val="5AAF2464"/>
    <w:rsid w:val="5D447B8C"/>
    <w:rsid w:val="5E291C42"/>
    <w:rsid w:val="5F386198"/>
    <w:rsid w:val="607221C4"/>
    <w:rsid w:val="630C1182"/>
    <w:rsid w:val="64C13330"/>
    <w:rsid w:val="65D12AF2"/>
    <w:rsid w:val="664C7B98"/>
    <w:rsid w:val="673E37F5"/>
    <w:rsid w:val="683D0EE9"/>
    <w:rsid w:val="690445D8"/>
    <w:rsid w:val="6ABA1F61"/>
    <w:rsid w:val="6D011CE1"/>
    <w:rsid w:val="6DBF507B"/>
    <w:rsid w:val="6DC4608D"/>
    <w:rsid w:val="72B04583"/>
    <w:rsid w:val="72B8173F"/>
    <w:rsid w:val="72DB1C83"/>
    <w:rsid w:val="731D597E"/>
    <w:rsid w:val="738F6536"/>
    <w:rsid w:val="75100875"/>
    <w:rsid w:val="758A0628"/>
    <w:rsid w:val="79045DC5"/>
    <w:rsid w:val="7A2B7A0D"/>
    <w:rsid w:val="7A3D29BC"/>
    <w:rsid w:val="7AA430D9"/>
    <w:rsid w:val="7AD51A7D"/>
    <w:rsid w:val="7B05466C"/>
    <w:rsid w:val="7B174399"/>
    <w:rsid w:val="7B3977E7"/>
    <w:rsid w:val="7C56738F"/>
    <w:rsid w:val="7C5B4FD8"/>
    <w:rsid w:val="7E5A5F0D"/>
    <w:rsid w:val="7FCB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20"/>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footnote reference"/>
    <w:basedOn w:val="11"/>
    <w:qFormat/>
    <w:uiPriority w:val="0"/>
    <w:rPr>
      <w:vertAlign w:val="superscript"/>
    </w:rPr>
  </w:style>
  <w:style w:type="paragraph" w:styleId="13">
    <w:name w:val="List Paragraph"/>
    <w:basedOn w:val="1"/>
    <w:qFormat/>
    <w:uiPriority w:val="0"/>
    <w:pPr>
      <w:ind w:firstLine="420" w:firstLineChars="200"/>
    </w:p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0"/>
    <w:rPr>
      <w:rFonts w:asciiTheme="minorHAnsi" w:hAnsiTheme="minorHAnsi" w:eastAsiaTheme="minorEastAsia" w:cstheme="minorBidi"/>
      <w:kern w:val="2"/>
      <w:sz w:val="18"/>
      <w:szCs w:val="18"/>
    </w:rPr>
  </w:style>
  <w:style w:type="paragraph" w:customStyle="1" w:styleId="16">
    <w:name w:val="Default"/>
    <w:qFormat/>
    <w:uiPriority w:val="0"/>
    <w:pPr>
      <w:widowControl w:val="0"/>
      <w:autoSpaceDE w:val="0"/>
      <w:autoSpaceDN w:val="0"/>
      <w:adjustRightInd w:val="0"/>
    </w:pPr>
    <w:rPr>
      <w:rFonts w:ascii="华文仿宋" w:hAnsi="华文仿宋" w:cs="华文仿宋" w:eastAsiaTheme="minorEastAsia"/>
      <w:color w:val="000000"/>
      <w:sz w:val="24"/>
      <w:szCs w:val="24"/>
      <w:lang w:val="en-US" w:eastAsia="zh-CN" w:bidi="ar-SA"/>
    </w:rPr>
  </w:style>
  <w:style w:type="paragraph" w:customStyle="1" w:styleId="17">
    <w:name w:val="列出段落1"/>
    <w:basedOn w:val="1"/>
    <w:qFormat/>
    <w:uiPriority w:val="34"/>
    <w:pPr>
      <w:ind w:firstLine="420" w:firstLineChars="200"/>
    </w:pPr>
  </w:style>
  <w:style w:type="paragraph" w:customStyle="1" w:styleId="18">
    <w:name w:val="正文1"/>
    <w:qFormat/>
    <w:uiPriority w:val="0"/>
    <w:pPr>
      <w:framePr w:wrap="around" w:vAnchor="margin" w:hAnchor="text" w:y="1"/>
    </w:pPr>
    <w:rPr>
      <w:rFonts w:ascii="Helvetica Neue" w:hAnsi="Helvetica Neue" w:eastAsia="Arial Unicode MS" w:cs="Arial Unicode MS"/>
      <w:color w:val="000000"/>
      <w:sz w:val="22"/>
      <w:szCs w:val="22"/>
      <w:lang w:val="zh-CN" w:eastAsia="zh-CN" w:bidi="ar-SA"/>
    </w:rPr>
  </w:style>
  <w:style w:type="character" w:customStyle="1" w:styleId="19">
    <w:name w:val="批注框文本 Char"/>
    <w:basedOn w:val="11"/>
    <w:link w:val="4"/>
    <w:qFormat/>
    <w:uiPriority w:val="0"/>
    <w:rPr>
      <w:kern w:val="2"/>
      <w:sz w:val="18"/>
      <w:szCs w:val="18"/>
    </w:rPr>
  </w:style>
  <w:style w:type="character" w:customStyle="1" w:styleId="20">
    <w:name w:val="日期 Char"/>
    <w:basedOn w:val="11"/>
    <w:link w:val="3"/>
    <w:qFormat/>
    <w:uiPriority w:val="0"/>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2878</Words>
  <Characters>3040</Characters>
  <Lines>22</Lines>
  <Paragraphs>6</Paragraphs>
  <TotalTime>139</TotalTime>
  <ScaleCrop>false</ScaleCrop>
  <LinksUpToDate>false</LinksUpToDate>
  <CharactersWithSpaces>3171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2024-04-13T07:10:00Z</dcterms:created>
  <dc:creator>Administrator</dc:creator>
  <cp:lastModifiedBy>zw</cp:lastModifiedBy>
  <cp:lastPrinted>2021-04-14T02:25:00Z</cp:lastPrinted>
  <dcterms:modified xsi:type="dcterms:W3CDTF">2025-04-17T11:29:40Z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eyJoZGlkIjoiMzEwNTM5NzYwMDRjMzkwZTVkZjY2ODkwMGIxNGU0OTUifQ==</vt:lpwstr>
  </property>
  <property fmtid="{D5CDD505-2E9C-101B-9397-08002B2CF9AE}" pid="4" name="ICV">
    <vt:lpwstr>F48B6BEEF55D4F60BA4728CE198D710D_13</vt:lpwstr>
  </property>
</Properties>
</file>